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jc w:val="center"/>
        <w:rPr>
          <w:rFonts w:ascii="仿宋" w:hAnsi="仿宋" w:eastAsia="仿宋"/>
          <w:sz w:val="48"/>
          <w:szCs w:val="48"/>
        </w:rPr>
      </w:pPr>
      <w:r>
        <w:rPr>
          <w:rFonts w:hint="eastAsia" w:ascii="仿宋" w:hAnsi="仿宋" w:eastAsia="仿宋"/>
          <w:sz w:val="48"/>
          <w:szCs w:val="48"/>
        </w:rPr>
        <w:t>工程量清单编制总说明</w:t>
      </w:r>
    </w:p>
    <w:p>
      <w:pPr>
        <w:pStyle w:val="30"/>
        <w:ind w:firstLine="0" w:firstLineChars="0"/>
        <w:rPr>
          <w:rFonts w:ascii="仿宋" w:hAnsi="仿宋" w:eastAsia="仿宋"/>
          <w:b/>
          <w:sz w:val="28"/>
          <w:szCs w:val="28"/>
        </w:rPr>
      </w:pPr>
      <w:r>
        <w:rPr>
          <w:rFonts w:hint="eastAsia" w:ascii="仿宋" w:hAnsi="仿宋" w:eastAsia="仿宋"/>
          <w:b/>
          <w:sz w:val="28"/>
          <w:szCs w:val="28"/>
        </w:rPr>
        <w:t>工程名称：重庆江北国际机场西区机库及站坪建设工程</w:t>
      </w:r>
      <w:r>
        <w:rPr>
          <w:rFonts w:hint="eastAsia" w:ascii="仿宋" w:hAnsi="仿宋" w:eastAsia="仿宋"/>
          <w:b/>
          <w:sz w:val="28"/>
          <w:szCs w:val="28"/>
          <w:lang w:val="en-US" w:eastAsia="zh-CN"/>
        </w:rPr>
        <w:t>弱</w:t>
      </w:r>
      <w:r>
        <w:rPr>
          <w:rFonts w:hint="eastAsia" w:ascii="仿宋" w:hAnsi="仿宋" w:eastAsia="仿宋"/>
          <w:b/>
          <w:sz w:val="28"/>
          <w:szCs w:val="28"/>
        </w:rPr>
        <w:t>电工程</w:t>
      </w:r>
    </w:p>
    <w:p>
      <w:pPr>
        <w:pStyle w:val="30"/>
        <w:ind w:firstLine="0" w:firstLineChars="0"/>
        <w:rPr>
          <w:rFonts w:ascii="仿宋" w:hAnsi="仿宋" w:eastAsia="仿宋"/>
          <w:b/>
          <w:sz w:val="28"/>
          <w:szCs w:val="28"/>
        </w:rPr>
      </w:pPr>
      <w:r>
        <w:rPr>
          <w:rFonts w:hint="eastAsia" w:ascii="仿宋" w:hAnsi="仿宋" w:eastAsia="仿宋"/>
          <w:b/>
          <w:sz w:val="28"/>
          <w:szCs w:val="28"/>
        </w:rPr>
        <w:t>一、工程概况</w:t>
      </w:r>
    </w:p>
    <w:p>
      <w:pPr>
        <w:pStyle w:val="30"/>
        <w:ind w:firstLine="560"/>
        <w:rPr>
          <w:rFonts w:ascii="仿宋" w:hAnsi="仿宋" w:eastAsia="仿宋"/>
          <w:sz w:val="28"/>
          <w:szCs w:val="28"/>
        </w:rPr>
      </w:pPr>
      <w:r>
        <w:rPr>
          <w:rFonts w:hint="eastAsia" w:ascii="仿宋" w:hAnsi="仿宋" w:eastAsia="仿宋"/>
          <w:sz w:val="28"/>
          <w:szCs w:val="28"/>
        </w:rPr>
        <w:t>1、建设地点：重庆江北国际机场机务维修区E</w:t>
      </w:r>
      <w:r>
        <w:rPr>
          <w:rFonts w:ascii="仿宋" w:hAnsi="仿宋" w:eastAsia="仿宋"/>
          <w:sz w:val="28"/>
          <w:szCs w:val="28"/>
        </w:rPr>
        <w:t>2</w:t>
      </w:r>
      <w:r>
        <w:rPr>
          <w:rFonts w:hint="eastAsia" w:ascii="仿宋" w:hAnsi="仿宋" w:eastAsia="仿宋"/>
          <w:sz w:val="28"/>
          <w:szCs w:val="28"/>
        </w:rPr>
        <w:t>地块</w:t>
      </w:r>
    </w:p>
    <w:p>
      <w:pPr>
        <w:pStyle w:val="30"/>
        <w:ind w:firstLine="560"/>
        <w:rPr>
          <w:rFonts w:hint="eastAsia" w:ascii="仿宋" w:hAnsi="仿宋" w:eastAsia="仿宋"/>
          <w:sz w:val="28"/>
          <w:szCs w:val="28"/>
          <w:lang w:val="en-US" w:eastAsia="zh-CN"/>
        </w:rPr>
      </w:pPr>
      <w:r>
        <w:rPr>
          <w:rFonts w:hint="eastAsia" w:ascii="仿宋" w:hAnsi="仿宋" w:eastAsia="仿宋"/>
          <w:sz w:val="28"/>
          <w:szCs w:val="28"/>
        </w:rPr>
        <w:t>2、建设概况及规模：重庆江北国际机场西区机库及站坪建设工程主要建设内容为新建维修机库和新建站坪，站坪面积约1</w:t>
      </w:r>
      <w:r>
        <w:rPr>
          <w:rFonts w:ascii="仿宋" w:hAnsi="仿宋" w:eastAsia="仿宋"/>
          <w:sz w:val="28"/>
          <w:szCs w:val="28"/>
        </w:rPr>
        <w:t>0</w:t>
      </w:r>
      <w:r>
        <w:rPr>
          <w:rFonts w:hint="eastAsia" w:ascii="仿宋" w:hAnsi="仿宋" w:eastAsia="仿宋"/>
          <w:sz w:val="28"/>
          <w:szCs w:val="28"/>
        </w:rPr>
        <w:t>万平方米，共9个机位（7</w:t>
      </w:r>
      <w:r>
        <w:rPr>
          <w:rFonts w:ascii="仿宋" w:hAnsi="仿宋" w:eastAsia="仿宋"/>
          <w:sz w:val="28"/>
          <w:szCs w:val="28"/>
        </w:rPr>
        <w:t>C2E</w:t>
      </w:r>
      <w:r>
        <w:rPr>
          <w:rFonts w:hint="eastAsia" w:ascii="仿宋" w:hAnsi="仿宋" w:eastAsia="仿宋"/>
          <w:sz w:val="28"/>
          <w:szCs w:val="28"/>
        </w:rPr>
        <w:t>）。</w:t>
      </w:r>
      <w:r>
        <w:rPr>
          <w:rFonts w:hint="eastAsia" w:ascii="仿宋" w:hAnsi="仿宋" w:eastAsia="仿宋"/>
          <w:sz w:val="28"/>
          <w:szCs w:val="28"/>
          <w:lang w:val="en-US" w:eastAsia="zh-CN"/>
        </w:rPr>
        <w:t>弱电</w:t>
      </w:r>
      <w:r>
        <w:rPr>
          <w:rFonts w:hint="eastAsia" w:ascii="仿宋" w:hAnsi="仿宋" w:eastAsia="仿宋"/>
          <w:sz w:val="28"/>
          <w:szCs w:val="28"/>
        </w:rPr>
        <w:t>工程是该项目的子工程，</w:t>
      </w:r>
      <w:r>
        <w:rPr>
          <w:rFonts w:hint="eastAsia" w:ascii="仿宋" w:hAnsi="仿宋" w:eastAsia="仿宋"/>
          <w:sz w:val="28"/>
          <w:szCs w:val="28"/>
          <w:lang w:val="en-US" w:eastAsia="zh-CN"/>
        </w:rPr>
        <w:t>主要包括围界安防、机坪监控及管线系统工程等施工内容。</w:t>
      </w:r>
    </w:p>
    <w:p>
      <w:pPr>
        <w:pStyle w:val="30"/>
        <w:ind w:firstLine="560"/>
        <w:rPr>
          <w:rFonts w:ascii="仿宋" w:hAnsi="仿宋" w:eastAsia="仿宋"/>
          <w:sz w:val="28"/>
          <w:szCs w:val="28"/>
        </w:rPr>
      </w:pPr>
      <w:r>
        <w:rPr>
          <w:rFonts w:hint="eastAsia" w:ascii="仿宋" w:hAnsi="仿宋" w:eastAsia="仿宋"/>
          <w:sz w:val="28"/>
          <w:szCs w:val="28"/>
        </w:rPr>
        <w:t>3、计划工期：详见</w:t>
      </w:r>
      <w:r>
        <w:rPr>
          <w:rFonts w:hint="eastAsia" w:ascii="仿宋" w:hAnsi="仿宋" w:eastAsia="仿宋"/>
          <w:sz w:val="28"/>
          <w:szCs w:val="28"/>
          <w:lang w:val="en-US" w:eastAsia="zh-CN"/>
        </w:rPr>
        <w:t>比选</w:t>
      </w:r>
      <w:r>
        <w:rPr>
          <w:rFonts w:hint="eastAsia" w:ascii="仿宋" w:hAnsi="仿宋" w:eastAsia="仿宋"/>
          <w:sz w:val="28"/>
          <w:szCs w:val="28"/>
        </w:rPr>
        <w:t>文件。</w:t>
      </w:r>
    </w:p>
    <w:p>
      <w:pPr>
        <w:pStyle w:val="30"/>
        <w:ind w:firstLine="0" w:firstLineChars="0"/>
        <w:rPr>
          <w:rFonts w:ascii="仿宋" w:hAnsi="仿宋" w:eastAsia="仿宋"/>
          <w:b/>
          <w:sz w:val="28"/>
          <w:szCs w:val="28"/>
        </w:rPr>
      </w:pPr>
      <w:r>
        <w:rPr>
          <w:rFonts w:hint="eastAsia" w:ascii="仿宋" w:hAnsi="仿宋" w:eastAsia="仿宋"/>
          <w:b/>
          <w:sz w:val="28"/>
          <w:szCs w:val="28"/>
        </w:rPr>
        <w:t>二、工程招标和专业工程发包范围</w:t>
      </w:r>
    </w:p>
    <w:p>
      <w:pPr>
        <w:pageBreakBefore w:val="0"/>
        <w:topLinePunct w:val="0"/>
        <w:bidi w:val="0"/>
        <w:spacing w:line="360" w:lineRule="auto"/>
        <w:ind w:firstLine="560" w:firstLineChars="200"/>
        <w:rPr>
          <w:rFonts w:hint="eastAsia" w:ascii="仿宋" w:hAnsi="仿宋" w:eastAsia="仿宋" w:cs="Times New Roman"/>
          <w:sz w:val="28"/>
          <w:szCs w:val="28"/>
        </w:rPr>
      </w:pPr>
      <w:r>
        <w:rPr>
          <w:rFonts w:hint="eastAsia" w:ascii="仿宋" w:hAnsi="仿宋" w:eastAsia="仿宋"/>
          <w:sz w:val="28"/>
          <w:szCs w:val="28"/>
        </w:rPr>
        <w:t>本次招标范围为</w:t>
      </w:r>
      <w:r>
        <w:rPr>
          <w:rFonts w:hint="eastAsia" w:ascii="仿宋" w:hAnsi="仿宋" w:eastAsia="仿宋" w:cs="Times New Roman"/>
          <w:sz w:val="28"/>
          <w:szCs w:val="28"/>
        </w:rPr>
        <w:t>新建站坪</w:t>
      </w:r>
      <w:r>
        <w:rPr>
          <w:rFonts w:hint="eastAsia" w:ascii="仿宋" w:hAnsi="仿宋" w:eastAsia="仿宋" w:cs="Times New Roman"/>
          <w:sz w:val="28"/>
          <w:szCs w:val="28"/>
          <w:lang w:eastAsia="zh-CN"/>
        </w:rPr>
        <w:t>围界安防</w:t>
      </w:r>
      <w:r>
        <w:rPr>
          <w:rFonts w:hint="eastAsia" w:ascii="仿宋" w:hAnsi="仿宋" w:eastAsia="仿宋" w:cs="Times New Roman"/>
          <w:sz w:val="28"/>
          <w:szCs w:val="28"/>
        </w:rPr>
        <w:t>、机坪</w:t>
      </w:r>
      <w:r>
        <w:rPr>
          <w:rFonts w:hint="eastAsia" w:ascii="仿宋" w:hAnsi="仿宋" w:eastAsia="仿宋" w:cs="Times New Roman"/>
          <w:sz w:val="28"/>
          <w:szCs w:val="28"/>
          <w:lang w:eastAsia="zh-CN"/>
        </w:rPr>
        <w:t>监控</w:t>
      </w:r>
      <w:r>
        <w:rPr>
          <w:rFonts w:hint="eastAsia" w:ascii="仿宋" w:hAnsi="仿宋" w:eastAsia="仿宋" w:cs="Times New Roman"/>
          <w:sz w:val="28"/>
          <w:szCs w:val="28"/>
        </w:rPr>
        <w:t>及</w:t>
      </w:r>
      <w:r>
        <w:rPr>
          <w:rFonts w:hint="eastAsia" w:ascii="仿宋" w:hAnsi="仿宋" w:eastAsia="仿宋" w:cs="Times New Roman"/>
          <w:sz w:val="28"/>
          <w:szCs w:val="28"/>
          <w:lang w:eastAsia="zh-CN"/>
        </w:rPr>
        <w:t>管线系统</w:t>
      </w:r>
      <w:r>
        <w:rPr>
          <w:rFonts w:hint="eastAsia" w:ascii="仿宋" w:hAnsi="仿宋" w:eastAsia="仿宋" w:cs="Times New Roman"/>
          <w:sz w:val="28"/>
          <w:szCs w:val="28"/>
        </w:rPr>
        <w:t>等设施设备的采购及安装，包含以上内容所有配套的管线</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含热缩管等辅材</w:t>
      </w:r>
      <w:r>
        <w:rPr>
          <w:rFonts w:hint="eastAsia" w:ascii="仿宋" w:hAnsi="仿宋" w:eastAsia="仿宋" w:cs="Times New Roman"/>
          <w:sz w:val="28"/>
          <w:szCs w:val="28"/>
          <w:lang w:eastAsia="zh-CN"/>
        </w:rPr>
        <w:t>）</w:t>
      </w:r>
      <w:r>
        <w:rPr>
          <w:rFonts w:hint="eastAsia" w:ascii="仿宋" w:hAnsi="仿宋" w:eastAsia="仿宋" w:cs="Times New Roman"/>
          <w:sz w:val="28"/>
          <w:szCs w:val="28"/>
        </w:rPr>
        <w:t>、管井的土建和安装工作，包含配合机场运行部门完成所有新增设施设备与现有系统的联网、调试工作。</w:t>
      </w:r>
    </w:p>
    <w:p>
      <w:pPr>
        <w:pageBreakBefore w:val="0"/>
        <w:topLinePunct w:val="0"/>
        <w:bidi w:val="0"/>
        <w:spacing w:line="360"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详细内容和具体数量以</w:t>
      </w:r>
      <w:r>
        <w:rPr>
          <w:rFonts w:hint="eastAsia" w:ascii="仿宋" w:hAnsi="仿宋" w:eastAsia="仿宋" w:cs="Times New Roman"/>
          <w:sz w:val="28"/>
          <w:szCs w:val="28"/>
          <w:lang w:val="en-US" w:eastAsia="zh-CN"/>
        </w:rPr>
        <w:t>比选文件、设计文件</w:t>
      </w:r>
      <w:r>
        <w:rPr>
          <w:rFonts w:hint="eastAsia" w:ascii="仿宋" w:hAnsi="仿宋" w:eastAsia="仿宋" w:cs="Times New Roman"/>
          <w:sz w:val="28"/>
          <w:szCs w:val="28"/>
        </w:rPr>
        <w:t>和工程量清单为准。</w:t>
      </w:r>
    </w:p>
    <w:p>
      <w:pPr>
        <w:pStyle w:val="30"/>
        <w:ind w:firstLine="0" w:firstLineChars="0"/>
        <w:rPr>
          <w:rFonts w:ascii="仿宋" w:hAnsi="仿宋" w:eastAsia="仿宋"/>
          <w:b/>
          <w:sz w:val="28"/>
          <w:szCs w:val="28"/>
        </w:rPr>
      </w:pPr>
      <w:r>
        <w:rPr>
          <w:rFonts w:hint="eastAsia" w:ascii="仿宋" w:hAnsi="仿宋" w:eastAsia="仿宋"/>
          <w:b/>
          <w:sz w:val="28"/>
          <w:szCs w:val="28"/>
        </w:rPr>
        <w:t>三、工程量清单编制依据</w:t>
      </w:r>
    </w:p>
    <w:p>
      <w:pPr>
        <w:pStyle w:val="30"/>
        <w:ind w:firstLine="560"/>
        <w:rPr>
          <w:rFonts w:hint="eastAsia" w:ascii="仿宋" w:hAnsi="仿宋" w:eastAsia="仿宋"/>
          <w:sz w:val="28"/>
          <w:szCs w:val="28"/>
        </w:rPr>
      </w:pPr>
      <w:r>
        <w:rPr>
          <w:rFonts w:hint="eastAsia" w:ascii="仿宋" w:hAnsi="仿宋" w:eastAsia="仿宋"/>
          <w:sz w:val="28"/>
          <w:szCs w:val="28"/>
        </w:rPr>
        <w:t>1、</w:t>
      </w:r>
      <w:r>
        <w:rPr>
          <w:rFonts w:hint="eastAsia" w:ascii="仿宋" w:hAnsi="仿宋" w:eastAsia="仿宋" w:cs="Times New Roman"/>
          <w:b w:val="0"/>
          <w:bCs w:val="0"/>
          <w:kern w:val="2"/>
          <w:sz w:val="28"/>
          <w:szCs w:val="28"/>
          <w:lang w:val="en-US" w:eastAsia="zh-CN" w:bidi="ar-SA"/>
        </w:rPr>
        <w:t>本工程量清单是根据中华人民共和国国家标准GB50500-2013《建设工程工程量清单计价规范》（以下简称“计价规范”）编制，除</w:t>
      </w:r>
      <w:r>
        <w:rPr>
          <w:rFonts w:hint="eastAsia" w:ascii="仿宋" w:hAnsi="仿宋" w:eastAsia="仿宋" w:cs="Times New Roman"/>
          <w:kern w:val="2"/>
          <w:sz w:val="28"/>
          <w:szCs w:val="28"/>
          <w:lang w:val="en-US" w:eastAsia="zh-CN"/>
        </w:rPr>
        <w:t>非本说明中特别注明的除外，其它未说明的事项应与本规范一致</w:t>
      </w:r>
      <w:r>
        <w:rPr>
          <w:rFonts w:hint="eastAsia" w:ascii="仿宋" w:hAnsi="仿宋" w:eastAsia="仿宋"/>
          <w:sz w:val="28"/>
          <w:szCs w:val="28"/>
        </w:rPr>
        <w:t>；</w:t>
      </w:r>
    </w:p>
    <w:p>
      <w:pPr>
        <w:pStyle w:val="30"/>
        <w:ind w:firstLine="560"/>
        <w:rPr>
          <w:rFonts w:ascii="仿宋" w:hAnsi="仿宋" w:eastAsia="仿宋"/>
          <w:sz w:val="28"/>
          <w:szCs w:val="28"/>
        </w:rPr>
      </w:pPr>
      <w:r>
        <w:rPr>
          <w:rFonts w:hint="eastAsia" w:ascii="仿宋" w:hAnsi="仿宋" w:eastAsia="仿宋"/>
          <w:sz w:val="28"/>
          <w:szCs w:val="28"/>
        </w:rPr>
        <w:t>2、中国航空规划设计研究总院有限公司设计的重庆江北国际机场西区机库及站坪建设工程</w:t>
      </w:r>
      <w:r>
        <w:rPr>
          <w:rFonts w:hint="eastAsia" w:ascii="仿宋" w:hAnsi="仿宋" w:eastAsia="仿宋"/>
          <w:sz w:val="28"/>
          <w:szCs w:val="28"/>
          <w:lang w:val="en-US" w:eastAsia="zh-CN"/>
        </w:rPr>
        <w:t>弱</w:t>
      </w:r>
      <w:r>
        <w:rPr>
          <w:rFonts w:hint="eastAsia" w:ascii="仿宋" w:hAnsi="仿宋" w:eastAsia="仿宋"/>
          <w:sz w:val="28"/>
          <w:szCs w:val="28"/>
        </w:rPr>
        <w:t>电工程招标图纸（</w:t>
      </w:r>
      <w:r>
        <w:rPr>
          <w:rFonts w:hint="eastAsia" w:ascii="仿宋" w:hAnsi="仿宋" w:eastAsia="仿宋"/>
          <w:sz w:val="28"/>
          <w:szCs w:val="28"/>
          <w:highlight w:val="none"/>
        </w:rPr>
        <w:t>202</w:t>
      </w:r>
      <w:r>
        <w:rPr>
          <w:rFonts w:hint="eastAsia" w:ascii="仿宋" w:hAnsi="仿宋" w:eastAsia="仿宋"/>
          <w:sz w:val="28"/>
          <w:szCs w:val="28"/>
          <w:highlight w:val="none"/>
          <w:lang w:val="en-US" w:eastAsia="zh-CN"/>
        </w:rPr>
        <w:t>2</w:t>
      </w:r>
      <w:r>
        <w:rPr>
          <w:rFonts w:hint="eastAsia" w:ascii="仿宋" w:hAnsi="仿宋" w:eastAsia="仿宋"/>
          <w:sz w:val="28"/>
          <w:szCs w:val="28"/>
          <w:highlight w:val="none"/>
        </w:rPr>
        <w:t>.0</w:t>
      </w:r>
      <w:r>
        <w:rPr>
          <w:rFonts w:hint="eastAsia" w:ascii="仿宋" w:hAnsi="仿宋" w:eastAsia="仿宋"/>
          <w:sz w:val="28"/>
          <w:szCs w:val="28"/>
          <w:highlight w:val="none"/>
          <w:lang w:val="en-US" w:eastAsia="zh-CN"/>
        </w:rPr>
        <w:t>4</w:t>
      </w:r>
      <w:r>
        <w:rPr>
          <w:rFonts w:hint="eastAsia" w:ascii="仿宋" w:hAnsi="仿宋" w:eastAsia="仿宋"/>
          <w:sz w:val="28"/>
          <w:szCs w:val="28"/>
          <w:highlight w:val="none"/>
        </w:rPr>
        <w:t>.</w:t>
      </w:r>
      <w:r>
        <w:rPr>
          <w:rFonts w:hint="eastAsia" w:ascii="仿宋" w:hAnsi="仿宋" w:eastAsia="仿宋"/>
          <w:sz w:val="28"/>
          <w:szCs w:val="28"/>
          <w:highlight w:val="none"/>
          <w:lang w:val="en-US" w:eastAsia="zh-CN"/>
        </w:rPr>
        <w:t>15</w:t>
      </w:r>
      <w:r>
        <w:rPr>
          <w:rFonts w:hint="eastAsia" w:ascii="仿宋" w:hAnsi="仿宋" w:eastAsia="仿宋"/>
          <w:sz w:val="28"/>
          <w:szCs w:val="28"/>
        </w:rPr>
        <w:t>）及相关资料；</w:t>
      </w:r>
      <w:r>
        <w:rPr>
          <w:rFonts w:ascii="仿宋" w:hAnsi="仿宋" w:eastAsia="仿宋"/>
          <w:sz w:val="28"/>
          <w:szCs w:val="28"/>
        </w:rPr>
        <w:t xml:space="preserve"> </w:t>
      </w:r>
    </w:p>
    <w:p>
      <w:pPr>
        <w:pStyle w:val="30"/>
        <w:ind w:firstLine="560"/>
        <w:rPr>
          <w:rFonts w:ascii="仿宋" w:hAnsi="仿宋" w:eastAsia="仿宋"/>
          <w:sz w:val="28"/>
          <w:szCs w:val="28"/>
        </w:rPr>
      </w:pPr>
      <w:r>
        <w:rPr>
          <w:rFonts w:hint="eastAsia" w:ascii="仿宋" w:hAnsi="仿宋" w:eastAsia="仿宋"/>
          <w:sz w:val="28"/>
          <w:szCs w:val="28"/>
        </w:rPr>
        <w:t>3、与工程项目有关的标准、规范、技术资料；</w:t>
      </w:r>
    </w:p>
    <w:p>
      <w:pPr>
        <w:pStyle w:val="30"/>
        <w:ind w:firstLine="560"/>
        <w:rPr>
          <w:rFonts w:ascii="仿宋" w:hAnsi="仿宋" w:eastAsia="仿宋"/>
          <w:sz w:val="28"/>
          <w:szCs w:val="28"/>
        </w:rPr>
      </w:pPr>
      <w:r>
        <w:rPr>
          <w:rFonts w:hint="eastAsia" w:ascii="仿宋" w:hAnsi="仿宋" w:eastAsia="仿宋"/>
          <w:sz w:val="28"/>
          <w:szCs w:val="28"/>
        </w:rPr>
        <w:t>4、拟定的</w:t>
      </w:r>
      <w:r>
        <w:rPr>
          <w:rFonts w:hint="eastAsia" w:ascii="仿宋" w:hAnsi="仿宋" w:eastAsia="仿宋"/>
          <w:sz w:val="28"/>
          <w:szCs w:val="28"/>
          <w:lang w:val="en-US" w:eastAsia="zh-CN"/>
        </w:rPr>
        <w:t>比选</w:t>
      </w:r>
      <w:r>
        <w:rPr>
          <w:rFonts w:hint="eastAsia" w:ascii="仿宋" w:hAnsi="仿宋" w:eastAsia="仿宋"/>
          <w:sz w:val="28"/>
          <w:szCs w:val="28"/>
        </w:rPr>
        <w:t>文件；</w:t>
      </w:r>
    </w:p>
    <w:p>
      <w:pPr>
        <w:pStyle w:val="30"/>
        <w:ind w:firstLine="560"/>
        <w:rPr>
          <w:rFonts w:ascii="仿宋" w:hAnsi="仿宋" w:eastAsia="仿宋"/>
          <w:sz w:val="28"/>
          <w:szCs w:val="28"/>
        </w:rPr>
      </w:pPr>
      <w:r>
        <w:rPr>
          <w:rFonts w:hint="eastAsia" w:ascii="仿宋" w:hAnsi="仿宋" w:eastAsia="仿宋"/>
          <w:sz w:val="28"/>
          <w:szCs w:val="28"/>
        </w:rPr>
        <w:t>5、施工现场情况、地勘水文资料、工程特点及常规施工方案；</w:t>
      </w:r>
    </w:p>
    <w:p>
      <w:pPr>
        <w:pStyle w:val="30"/>
        <w:ind w:firstLine="560"/>
        <w:rPr>
          <w:rFonts w:ascii="仿宋" w:hAnsi="仿宋" w:eastAsia="仿宋"/>
          <w:sz w:val="28"/>
          <w:szCs w:val="28"/>
        </w:rPr>
      </w:pPr>
      <w:r>
        <w:rPr>
          <w:rFonts w:hint="eastAsia" w:ascii="仿宋" w:hAnsi="仿宋" w:eastAsia="仿宋"/>
          <w:sz w:val="28"/>
          <w:szCs w:val="28"/>
        </w:rPr>
        <w:t>6、其他相关资料。</w:t>
      </w:r>
    </w:p>
    <w:p>
      <w:pPr>
        <w:pStyle w:val="30"/>
        <w:ind w:firstLine="0" w:firstLineChars="0"/>
        <w:rPr>
          <w:rFonts w:ascii="仿宋" w:hAnsi="仿宋" w:eastAsia="仿宋"/>
          <w:b/>
          <w:sz w:val="28"/>
          <w:szCs w:val="28"/>
        </w:rPr>
      </w:pPr>
      <w:r>
        <w:rPr>
          <w:rFonts w:hint="eastAsia" w:ascii="仿宋" w:hAnsi="仿宋" w:eastAsia="仿宋"/>
          <w:b/>
          <w:sz w:val="28"/>
          <w:szCs w:val="28"/>
        </w:rPr>
        <w:t>四、工程质量、材料、施工等的特殊要求</w:t>
      </w:r>
    </w:p>
    <w:p>
      <w:pPr>
        <w:pStyle w:val="30"/>
        <w:ind w:firstLine="560"/>
        <w:rPr>
          <w:rFonts w:ascii="仿宋" w:hAnsi="仿宋" w:eastAsia="仿宋"/>
          <w:sz w:val="28"/>
          <w:szCs w:val="28"/>
        </w:rPr>
      </w:pPr>
      <w:r>
        <w:rPr>
          <w:rFonts w:hint="eastAsia" w:ascii="仿宋" w:hAnsi="仿宋" w:eastAsia="仿宋"/>
          <w:sz w:val="28"/>
          <w:szCs w:val="28"/>
        </w:rPr>
        <w:t>1、工程质量：详见</w:t>
      </w:r>
      <w:r>
        <w:rPr>
          <w:rFonts w:hint="eastAsia" w:ascii="仿宋" w:hAnsi="仿宋" w:eastAsia="仿宋"/>
          <w:sz w:val="28"/>
          <w:szCs w:val="28"/>
          <w:lang w:val="en-US" w:eastAsia="zh-CN"/>
        </w:rPr>
        <w:t>比选</w:t>
      </w:r>
      <w:r>
        <w:rPr>
          <w:rFonts w:hint="eastAsia" w:ascii="仿宋" w:hAnsi="仿宋" w:eastAsia="仿宋"/>
          <w:sz w:val="28"/>
          <w:szCs w:val="28"/>
        </w:rPr>
        <w:t>文件；</w:t>
      </w:r>
    </w:p>
    <w:p>
      <w:pPr>
        <w:pStyle w:val="30"/>
        <w:ind w:firstLine="560"/>
        <w:rPr>
          <w:rFonts w:ascii="仿宋" w:hAnsi="仿宋" w:eastAsia="仿宋"/>
          <w:sz w:val="28"/>
          <w:szCs w:val="28"/>
        </w:rPr>
      </w:pPr>
      <w:r>
        <w:rPr>
          <w:rFonts w:hint="eastAsia" w:ascii="仿宋" w:hAnsi="仿宋" w:eastAsia="仿宋"/>
          <w:sz w:val="28"/>
          <w:szCs w:val="28"/>
        </w:rPr>
        <w:t>2、材料、施工等特殊要求：须满足机场</w:t>
      </w:r>
      <w:r>
        <w:rPr>
          <w:rFonts w:hint="eastAsia" w:ascii="仿宋" w:hAnsi="仿宋" w:eastAsia="仿宋"/>
          <w:sz w:val="28"/>
          <w:szCs w:val="28"/>
          <w:lang w:val="en-US" w:eastAsia="zh-CN"/>
        </w:rPr>
        <w:t>建设</w:t>
      </w:r>
      <w:r>
        <w:rPr>
          <w:rFonts w:hint="eastAsia" w:ascii="仿宋" w:hAnsi="仿宋" w:eastAsia="仿宋"/>
          <w:sz w:val="28"/>
          <w:szCs w:val="28"/>
        </w:rPr>
        <w:t>的全部要求。</w:t>
      </w:r>
    </w:p>
    <w:p>
      <w:pPr>
        <w:pStyle w:val="30"/>
        <w:ind w:firstLine="0" w:firstLineChars="0"/>
        <w:rPr>
          <w:rFonts w:ascii="仿宋" w:hAnsi="仿宋" w:eastAsia="仿宋"/>
          <w:b/>
          <w:sz w:val="28"/>
          <w:szCs w:val="28"/>
        </w:rPr>
      </w:pPr>
      <w:r>
        <w:rPr>
          <w:rFonts w:hint="eastAsia" w:ascii="仿宋" w:hAnsi="仿宋" w:eastAsia="仿宋"/>
          <w:b/>
          <w:sz w:val="28"/>
          <w:szCs w:val="28"/>
        </w:rPr>
        <w:t>五、其他需要说明的问题</w:t>
      </w:r>
    </w:p>
    <w:p>
      <w:pPr>
        <w:pStyle w:val="30"/>
        <w:ind w:firstLine="56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、本清单以“计价规范”为原则、并结合项目当地其他相关规定编制。</w:t>
      </w:r>
    </w:p>
    <w:p>
      <w:pPr>
        <w:pStyle w:val="30"/>
        <w:ind w:firstLine="560"/>
        <w:rPr>
          <w:rFonts w:ascii="仿宋" w:hAnsi="仿宋" w:eastAsia="仿宋"/>
          <w:sz w:val="28"/>
          <w:szCs w:val="28"/>
        </w:rPr>
      </w:pPr>
      <w:r>
        <w:rPr>
          <w:rFonts w:hint="eastAsia" w:ascii="仿宋" w:hAnsi="仿宋" w:eastAsia="仿宋"/>
          <w:sz w:val="28"/>
          <w:szCs w:val="28"/>
        </w:rPr>
        <w:t>2、工程量清单中序号、编号、名称、项目特征、计量单位、数量等，投标人不得更改，如果投标人在投标文件中进行了更改，今后合同实施仍按招标工程量清单中的描述执行，费用按不利于投标人/中标人修正，此修正时效适用于整个投标期和合同实施期。</w:t>
      </w:r>
    </w:p>
    <w:p>
      <w:pPr>
        <w:pStyle w:val="30"/>
        <w:ind w:firstLine="560"/>
        <w:rPr>
          <w:rFonts w:ascii="仿宋" w:hAnsi="仿宋" w:eastAsia="仿宋"/>
          <w:sz w:val="28"/>
          <w:szCs w:val="28"/>
        </w:rPr>
      </w:pPr>
      <w:r>
        <w:rPr>
          <w:rFonts w:hint="eastAsia" w:ascii="仿宋" w:hAnsi="仿宋" w:eastAsia="仿宋"/>
          <w:sz w:val="28"/>
          <w:szCs w:val="28"/>
        </w:rPr>
        <w:t>3、投标人在报价时应与</w:t>
      </w:r>
      <w:r>
        <w:rPr>
          <w:rFonts w:hint="eastAsia" w:ascii="仿宋" w:hAnsi="仿宋" w:eastAsia="仿宋"/>
          <w:sz w:val="28"/>
          <w:szCs w:val="28"/>
          <w:lang w:val="en-US" w:eastAsia="zh-CN"/>
        </w:rPr>
        <w:t>比选</w:t>
      </w:r>
      <w:r>
        <w:rPr>
          <w:rFonts w:hint="eastAsia" w:ascii="仿宋" w:hAnsi="仿宋" w:eastAsia="仿宋"/>
          <w:sz w:val="28"/>
          <w:szCs w:val="28"/>
        </w:rPr>
        <w:t>文件，合同条件及招标图等文件结合起来理解或解释。工程量清单中对项目特征的描述，是指该清单项目必须完成的内容；无论项目特征中是否描述，投标人必须结合工程设计（包括设计说明，下同）及规范要求施工，工程中所用的材料必须满足设计及规范要求，费用综合考虑在单价中。</w:t>
      </w:r>
    </w:p>
    <w:p>
      <w:pPr>
        <w:pStyle w:val="30"/>
        <w:ind w:firstLine="560"/>
        <w:rPr>
          <w:rFonts w:ascii="仿宋" w:hAnsi="仿宋" w:eastAsia="仿宋"/>
          <w:sz w:val="28"/>
          <w:szCs w:val="28"/>
        </w:rPr>
      </w:pPr>
      <w:r>
        <w:rPr>
          <w:rFonts w:hint="eastAsia" w:ascii="仿宋" w:hAnsi="仿宋" w:eastAsia="仿宋"/>
          <w:sz w:val="28"/>
          <w:szCs w:val="28"/>
        </w:rPr>
        <w:t>4、项目特征列中的“工程内容”是对项目特征的补充、完善，投标人应根据项目特征和工程内容结合使用；工程内容中提及的事项，投标人应在投标报价中考虑对应的费用。</w:t>
      </w:r>
    </w:p>
    <w:p>
      <w:pPr>
        <w:pStyle w:val="30"/>
        <w:ind w:firstLine="560"/>
        <w:rPr>
          <w:rFonts w:ascii="仿宋" w:hAnsi="仿宋" w:eastAsia="仿宋"/>
          <w:sz w:val="28"/>
          <w:szCs w:val="28"/>
        </w:rPr>
      </w:pPr>
      <w:r>
        <w:rPr>
          <w:rFonts w:hint="eastAsia" w:ascii="仿宋" w:hAnsi="仿宋" w:eastAsia="仿宋"/>
          <w:sz w:val="28"/>
          <w:szCs w:val="28"/>
        </w:rPr>
        <w:t>5、工程量清单中所列工程量，除编制说明及工程量清单项目特征中另有特殊说明、补充说明外，均按“计价规范”中规定的工程量计算规则计算。</w:t>
      </w:r>
    </w:p>
    <w:p>
      <w:pPr>
        <w:pStyle w:val="30"/>
        <w:ind w:firstLine="560"/>
        <w:rPr>
          <w:rFonts w:ascii="仿宋" w:hAnsi="仿宋" w:eastAsia="仿宋"/>
          <w:sz w:val="28"/>
          <w:szCs w:val="28"/>
        </w:rPr>
      </w:pPr>
      <w:r>
        <w:rPr>
          <w:rFonts w:hint="eastAsia" w:ascii="仿宋" w:hAnsi="仿宋" w:eastAsia="仿宋"/>
          <w:sz w:val="28"/>
          <w:szCs w:val="28"/>
        </w:rPr>
        <w:t>6、招标工程量清单的每一个项目，投标人都应填入金额，对于没有填入金额的项目，其费用应视为已经包括在其他项目的综合单价或合价中，投标人/中标人必须按招标人和监理工程师指令完成工程量清单中未填入金额项目的工作内容，但在项目实施期间和结算时不再计取该项费用。</w:t>
      </w:r>
    </w:p>
    <w:p>
      <w:pPr>
        <w:pStyle w:val="30"/>
        <w:ind w:firstLine="560"/>
        <w:rPr>
          <w:rFonts w:ascii="仿宋" w:hAnsi="仿宋" w:eastAsia="仿宋"/>
          <w:sz w:val="28"/>
          <w:szCs w:val="28"/>
        </w:rPr>
      </w:pPr>
      <w:r>
        <w:rPr>
          <w:rFonts w:hint="eastAsia" w:ascii="仿宋" w:hAnsi="仿宋" w:eastAsia="仿宋"/>
          <w:sz w:val="28"/>
          <w:szCs w:val="28"/>
        </w:rPr>
        <w:t>7、工程量清单中以“项”为单位的清单子目，须满足项目的实际需求或保证相关系统的正常运行，所填报价格将作包干使用，结算时不再作调整（</w:t>
      </w:r>
      <w:r>
        <w:rPr>
          <w:rFonts w:hint="eastAsia" w:ascii="仿宋" w:hAnsi="仿宋" w:eastAsia="仿宋"/>
          <w:sz w:val="28"/>
          <w:szCs w:val="28"/>
          <w:lang w:val="en-US" w:eastAsia="zh-CN"/>
        </w:rPr>
        <w:t>比选</w:t>
      </w:r>
      <w:r>
        <w:rPr>
          <w:rFonts w:hint="eastAsia" w:ascii="仿宋" w:hAnsi="仿宋" w:eastAsia="仿宋"/>
          <w:sz w:val="28"/>
          <w:szCs w:val="28"/>
        </w:rPr>
        <w:t>文件另有约定的除外）。</w:t>
      </w:r>
    </w:p>
    <w:p>
      <w:pPr>
        <w:pStyle w:val="42"/>
        <w:rPr>
          <w:rFonts w:ascii="仿宋" w:hAnsi="仿宋" w:eastAsia="仿宋"/>
          <w:sz w:val="28"/>
          <w:szCs w:val="28"/>
        </w:rPr>
      </w:pPr>
      <w:r>
        <w:rPr>
          <w:rFonts w:hint="eastAsia" w:ascii="仿宋" w:hAnsi="仿宋" w:eastAsia="仿宋"/>
          <w:sz w:val="28"/>
          <w:szCs w:val="28"/>
        </w:rPr>
        <w:t>8、</w:t>
      </w:r>
      <w:r>
        <w:rPr>
          <w:rFonts w:hint="eastAsia" w:ascii="仿宋" w:hAnsi="仿宋" w:eastAsia="仿宋" w:cs="宋体"/>
          <w:sz w:val="28"/>
          <w:szCs w:val="28"/>
          <w:lang w:val="en-US" w:eastAsia="zh-CN" w:bidi="ar-SA"/>
        </w:rPr>
        <w:t>措施项目费清单包括技术和组织措施的全部内容及赶工措施费、其它特殊施工措施费等。投标人结合本工程的实际情况和国家及重庆市相关管理规定自行增加项目，增加措施项目工程计量单位必须为“项”，并进行报价。如果漏项或不报价，其费用视作已包含在其它报价中；除安全文明施工费以外的措施费全部包干使用，任何情况下不作调整。</w:t>
      </w:r>
    </w:p>
    <w:p>
      <w:pPr>
        <w:pStyle w:val="42"/>
        <w:ind w:firstLine="560"/>
        <w:rPr>
          <w:rFonts w:ascii="仿宋" w:hAnsi="仿宋" w:eastAsia="仿宋"/>
          <w:sz w:val="28"/>
          <w:szCs w:val="28"/>
        </w:rPr>
      </w:pPr>
      <w:r>
        <w:rPr>
          <w:rFonts w:hint="eastAsia" w:ascii="仿宋" w:hAnsi="仿宋" w:eastAsia="仿宋"/>
          <w:sz w:val="28"/>
          <w:szCs w:val="28"/>
          <w:lang w:val="en-US" w:eastAsia="zh-CN"/>
        </w:rPr>
        <w:t>9</w:t>
      </w:r>
      <w:r>
        <w:rPr>
          <w:rFonts w:hint="eastAsia" w:ascii="仿宋" w:hAnsi="仿宋" w:eastAsia="仿宋"/>
          <w:sz w:val="28"/>
          <w:szCs w:val="28"/>
        </w:rPr>
        <w:t>、本项目涉及不停航施工，措施费中须充分考虑不停航施工因素。若除了清单中开列的措施项目清单以外，投标人尚有需要考虑的措施费费用，统一考虑在措施费中对应的“其他措施项目费”中；</w:t>
      </w:r>
    </w:p>
    <w:p>
      <w:pPr>
        <w:pStyle w:val="30"/>
        <w:ind w:firstLine="560"/>
        <w:rPr>
          <w:rFonts w:ascii="仿宋" w:hAnsi="仿宋" w:eastAsia="仿宋"/>
          <w:sz w:val="28"/>
          <w:szCs w:val="28"/>
        </w:rPr>
      </w:pPr>
      <w:r>
        <w:rPr>
          <w:rFonts w:hint="eastAsia" w:ascii="仿宋" w:hAnsi="仿宋" w:eastAsia="仿宋"/>
          <w:sz w:val="28"/>
          <w:szCs w:val="28"/>
        </w:rPr>
        <w:t>10</w:t>
      </w:r>
      <w:r>
        <w:rPr>
          <w:rFonts w:hint="eastAsia" w:ascii="仿宋" w:hAnsi="仿宋" w:eastAsia="仿宋"/>
          <w:sz w:val="28"/>
          <w:szCs w:val="28"/>
          <w:lang w:eastAsia="zh-CN"/>
        </w:rPr>
        <w:t>、</w:t>
      </w:r>
      <w:r>
        <w:rPr>
          <w:rFonts w:hint="eastAsia" w:ascii="仿宋" w:hAnsi="仿宋" w:eastAsia="仿宋"/>
          <w:sz w:val="28"/>
          <w:szCs w:val="28"/>
        </w:rPr>
        <w:t>投标人需考虑施工机械设备、车辆出入现场时，可能发生道路铺筑、加宽、平整、硬化、维护、路面损坏后整修、恢复等情况，费用综合考虑在投标报价中。</w:t>
      </w:r>
    </w:p>
    <w:p>
      <w:pPr>
        <w:pStyle w:val="30"/>
        <w:ind w:firstLine="560"/>
        <w:rPr>
          <w:rFonts w:ascii="仿宋" w:hAnsi="仿宋" w:eastAsia="仿宋"/>
          <w:sz w:val="28"/>
          <w:szCs w:val="28"/>
        </w:rPr>
      </w:pPr>
      <w:r>
        <w:rPr>
          <w:rFonts w:hint="eastAsia" w:ascii="仿宋" w:hAnsi="仿宋" w:eastAsia="仿宋"/>
          <w:sz w:val="28"/>
          <w:szCs w:val="28"/>
        </w:rPr>
        <w:t>11</w:t>
      </w:r>
      <w:r>
        <w:rPr>
          <w:rFonts w:ascii="仿宋" w:hAnsi="仿宋" w:eastAsia="仿宋"/>
          <w:sz w:val="28"/>
          <w:szCs w:val="28"/>
        </w:rPr>
        <w:t>、</w:t>
      </w:r>
      <w:r>
        <w:rPr>
          <w:rFonts w:hint="eastAsia" w:ascii="仿宋" w:hAnsi="仿宋" w:eastAsia="仿宋" w:cs="Times New Roman"/>
          <w:kern w:val="2"/>
          <w:sz w:val="28"/>
          <w:szCs w:val="28"/>
          <w:lang w:val="en-US" w:eastAsia="zh-CN" w:bidi="ar-SA"/>
        </w:rPr>
        <w:t>规费是指政府和政府有关部门规定必须缴纳的费用，内容包括养老保险费、失业保险费、医疗保险费、生育保险费、工伤保险费、住房公积金及工程排污费，计取标准按重庆市相关规定执行。</w:t>
      </w:r>
    </w:p>
    <w:p>
      <w:pPr>
        <w:pStyle w:val="42"/>
        <w:rPr>
          <w:rFonts w:ascii="仿宋" w:hAnsi="仿宋" w:eastAsia="仿宋"/>
          <w:sz w:val="28"/>
          <w:szCs w:val="28"/>
        </w:rPr>
      </w:pPr>
      <w:r>
        <w:rPr>
          <w:rFonts w:hint="eastAsia" w:ascii="仿宋" w:hAnsi="仿宋" w:eastAsia="仿宋"/>
          <w:sz w:val="28"/>
          <w:szCs w:val="28"/>
        </w:rPr>
        <w:t>12、</w:t>
      </w:r>
      <w:r>
        <w:rPr>
          <w:rFonts w:hint="eastAsia" w:ascii="仿宋" w:hAnsi="仿宋" w:eastAsia="仿宋" w:cs="Times New Roman"/>
          <w:kern w:val="2"/>
          <w:sz w:val="28"/>
          <w:szCs w:val="28"/>
          <w:lang w:val="en-US" w:eastAsia="zh-CN" w:bidi="ar-SA"/>
        </w:rPr>
        <w:t>增值税按9%计算,结算时按国家及地方相关规定执行。</w:t>
      </w:r>
    </w:p>
    <w:p>
      <w:pPr>
        <w:pStyle w:val="30"/>
        <w:ind w:firstLine="560"/>
        <w:rPr>
          <w:rFonts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lang w:val="en-US" w:eastAsia="zh-CN"/>
        </w:rPr>
        <w:t>3</w:t>
      </w:r>
      <w:r>
        <w:rPr>
          <w:rFonts w:hint="eastAsia" w:ascii="仿宋" w:hAnsi="仿宋" w:eastAsia="仿宋"/>
          <w:sz w:val="28"/>
          <w:szCs w:val="28"/>
        </w:rPr>
        <w:t>、暂列金额</w:t>
      </w:r>
    </w:p>
    <w:p>
      <w:pPr>
        <w:pStyle w:val="30"/>
        <w:ind w:firstLine="560"/>
        <w:rPr>
          <w:rFonts w:ascii="仿宋" w:hAnsi="仿宋" w:eastAsia="仿宋" w:cs="Times New Roman"/>
          <w:kern w:val="2"/>
          <w:sz w:val="28"/>
          <w:szCs w:val="28"/>
        </w:rPr>
      </w:pPr>
      <w:r>
        <w:rPr>
          <w:rFonts w:hint="eastAsia" w:ascii="仿宋" w:hAnsi="仿宋" w:eastAsia="仿宋" w:cs="Times New Roman"/>
          <w:kern w:val="2"/>
          <w:sz w:val="28"/>
          <w:szCs w:val="28"/>
        </w:rPr>
        <w:t>本工程暂列金额在其他项目清单中开列，暂列金额是招标人暂定的金额，在具体的计量支付中，必须由监理工程师和发包人代表批准具体的适用范围和内容方可使用，而且该项费用可能动用或部分动用、也可能不动用；暂列金额应作为“税金”的取费基数。</w:t>
      </w:r>
    </w:p>
    <w:p>
      <w:pPr>
        <w:pStyle w:val="42"/>
        <w:numPr>
          <w:ilvl w:val="0"/>
          <w:numId w:val="1"/>
        </w:numPr>
        <w:ind w:firstLine="560"/>
        <w:rPr>
          <w:rFonts w:hint="eastAsia" w:ascii="仿宋" w:hAnsi="仿宋" w:eastAsia="仿宋" w:cs="Times New Roman"/>
          <w:kern w:val="2"/>
          <w:sz w:val="28"/>
          <w:szCs w:val="28"/>
        </w:rPr>
      </w:pPr>
      <w:r>
        <w:rPr>
          <w:rFonts w:hint="eastAsia" w:ascii="仿宋" w:hAnsi="仿宋" w:eastAsia="仿宋" w:cs="Times New Roman"/>
          <w:kern w:val="2"/>
          <w:sz w:val="28"/>
          <w:szCs w:val="28"/>
        </w:rPr>
        <w:t>中国民用航空局于2020年3月31日下发了“关于印发《民航专业工程安全生产费用管理办法（试行）的通知》”（民航规[2020]5号），并于2020年5月1日起施行；招标清单在“建设项目投标报价汇总表”中增列了“民航专业工程安全生产费用”，该项为不可竞争费用，投标人报价时应按</w:t>
      </w:r>
      <w:r>
        <w:rPr>
          <w:rFonts w:hint="eastAsia" w:ascii="仿宋" w:hAnsi="仿宋" w:eastAsia="仿宋" w:cs="Times New Roman"/>
          <w:kern w:val="2"/>
          <w:sz w:val="28"/>
          <w:szCs w:val="28"/>
          <w:lang w:val="en-US" w:eastAsia="zh-CN"/>
        </w:rPr>
        <w:t>招标人公布的方式</w:t>
      </w:r>
      <w:bookmarkStart w:id="0" w:name="_GoBack"/>
      <w:bookmarkEnd w:id="0"/>
      <w:r>
        <w:rPr>
          <w:rFonts w:hint="eastAsia" w:ascii="仿宋" w:hAnsi="仿宋" w:eastAsia="仿宋" w:cs="Times New Roman"/>
          <w:kern w:val="2"/>
          <w:sz w:val="28"/>
          <w:szCs w:val="28"/>
          <w:lang w:val="en-US" w:eastAsia="zh-CN"/>
        </w:rPr>
        <w:t>计取</w:t>
      </w:r>
      <w:r>
        <w:rPr>
          <w:rFonts w:hint="eastAsia" w:ascii="仿宋" w:hAnsi="仿宋" w:eastAsia="仿宋" w:cs="Times New Roman"/>
          <w:kern w:val="2"/>
          <w:sz w:val="28"/>
          <w:szCs w:val="28"/>
        </w:rPr>
        <w:t>。</w:t>
      </w:r>
    </w:p>
    <w:p>
      <w:pPr>
        <w:numPr>
          <w:ilvl w:val="0"/>
          <w:numId w:val="0"/>
        </w:num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15、投标人须按工程量清单填报须知和工程量清单报价格式报价。还需提供分部分项工程量清单综合单价分析表、全部人、材、机械价格表，并提供电子版格式文件（包括EXCEL格式，计价软件格式）。</w:t>
      </w:r>
    </w:p>
    <w:p>
      <w:pPr>
        <w:numPr>
          <w:ilvl w:val="0"/>
          <w:numId w:val="0"/>
        </w:numPr>
        <w:spacing w:line="360" w:lineRule="auto"/>
        <w:ind w:firstLine="560" w:firstLineChars="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16、建筑工程一切险，安装工程一切险以及第三者责任险由招标人统一投保。本清单项目不在单独开列，以上列明的三项保险之外的保险由承包人自行投保，保险费由承包人自行承担，不再单独报价。</w:t>
      </w:r>
    </w:p>
    <w:p>
      <w:pPr>
        <w:spacing w:before="156" w:beforeLines="50" w:line="360" w:lineRule="auto"/>
        <w:ind w:firstLine="560" w:firstLineChars="200"/>
        <w:rPr>
          <w:rFonts w:hint="eastAsia" w:ascii="仿宋" w:hAnsi="仿宋" w:eastAsia="仿宋" w:cs="宋体"/>
          <w:bCs/>
          <w:sz w:val="28"/>
          <w:szCs w:val="28"/>
          <w:lang w:eastAsia="zh-CN"/>
        </w:rPr>
      </w:pPr>
      <w:r>
        <w:rPr>
          <w:rFonts w:hint="eastAsia" w:ascii="仿宋" w:hAnsi="仿宋" w:eastAsia="仿宋" w:cs="宋体"/>
          <w:bCs/>
          <w:sz w:val="28"/>
          <w:szCs w:val="28"/>
          <w:lang w:eastAsia="zh-CN"/>
        </w:rPr>
        <w:t>1</w:t>
      </w:r>
      <w:r>
        <w:rPr>
          <w:rFonts w:hint="eastAsia" w:ascii="仿宋" w:hAnsi="仿宋" w:eastAsia="仿宋" w:cs="宋体"/>
          <w:bCs/>
          <w:sz w:val="28"/>
          <w:szCs w:val="28"/>
          <w:lang w:val="en-US" w:eastAsia="zh-CN"/>
        </w:rPr>
        <w:t>7</w:t>
      </w:r>
      <w:r>
        <w:rPr>
          <w:rFonts w:hint="eastAsia" w:ascii="仿宋" w:hAnsi="仿宋" w:eastAsia="仿宋" w:cs="宋体"/>
          <w:bCs/>
          <w:sz w:val="28"/>
          <w:szCs w:val="28"/>
          <w:lang w:eastAsia="zh-CN"/>
        </w:rPr>
        <w:t>、招标图纸、</w:t>
      </w:r>
      <w:r>
        <w:rPr>
          <w:rFonts w:hint="eastAsia" w:ascii="仿宋" w:hAnsi="仿宋" w:eastAsia="仿宋" w:cs="宋体"/>
          <w:bCs/>
          <w:sz w:val="28"/>
          <w:szCs w:val="28"/>
          <w:lang w:val="en-US" w:eastAsia="zh-CN"/>
        </w:rPr>
        <w:t>比选</w:t>
      </w:r>
      <w:r>
        <w:rPr>
          <w:rFonts w:hint="eastAsia" w:ascii="仿宋" w:hAnsi="仿宋" w:eastAsia="仿宋" w:cs="宋体"/>
          <w:bCs/>
          <w:sz w:val="28"/>
          <w:szCs w:val="28"/>
          <w:lang w:eastAsia="zh-CN"/>
        </w:rPr>
        <w:t>文件、工程量清单及编制说明已经尽可能去描述本次招标的范围、项目特征及工作内容，投标人务必认真复核招标范围、项目特征、工作内容及数量，并及时提出意见。若上述不同文件对同一内容有不同表述时，投标人务必在规定的时间提出意见；若没有按时提出意见，则招标人有权要求投标人在费用不变的情况下按任何一种表述执行。</w:t>
      </w:r>
    </w:p>
    <w:p>
      <w:pPr>
        <w:spacing w:before="156" w:beforeLines="50" w:line="360" w:lineRule="auto"/>
        <w:ind w:firstLine="560" w:firstLineChars="200"/>
        <w:rPr>
          <w:rFonts w:hint="default" w:ascii="仿宋" w:hAnsi="仿宋" w:eastAsia="仿宋" w:cs="宋体"/>
          <w:bCs/>
          <w:sz w:val="28"/>
          <w:szCs w:val="28"/>
          <w:lang w:eastAsia="zh-CN"/>
        </w:rPr>
      </w:pPr>
      <w:r>
        <w:rPr>
          <w:rFonts w:hint="eastAsia" w:ascii="仿宋" w:hAnsi="仿宋" w:eastAsia="仿宋" w:cs="宋体"/>
          <w:bCs/>
          <w:sz w:val="28"/>
          <w:szCs w:val="28"/>
          <w:lang w:val="en-US" w:eastAsia="zh-CN"/>
        </w:rPr>
        <w:t>18、</w:t>
      </w:r>
      <w:r>
        <w:rPr>
          <w:rFonts w:hint="default" w:ascii="仿宋" w:hAnsi="仿宋" w:eastAsia="仿宋" w:cs="宋体"/>
          <w:bCs/>
          <w:sz w:val="28"/>
          <w:szCs w:val="28"/>
          <w:lang w:eastAsia="zh-CN"/>
        </w:rPr>
        <w:t>防疫费用由投标人在投标报价中综合考虑</w:t>
      </w:r>
      <w:r>
        <w:rPr>
          <w:rFonts w:hint="eastAsia" w:ascii="仿宋" w:hAnsi="仿宋" w:eastAsia="仿宋" w:cs="宋体"/>
          <w:bCs/>
          <w:sz w:val="28"/>
          <w:szCs w:val="28"/>
          <w:lang w:eastAsia="zh-CN"/>
        </w:rPr>
        <w:t>，不单独计列。</w:t>
      </w:r>
    </w:p>
    <w:p>
      <w:pPr>
        <w:keepNext w:val="0"/>
        <w:keepLines w:val="0"/>
        <w:pageBreakBefore w:val="0"/>
        <w:widowControl w:val="0"/>
        <w:kinsoku/>
        <w:wordWrap/>
        <w:overflowPunct/>
        <w:topLinePunct w:val="0"/>
        <w:autoSpaceDE/>
        <w:autoSpaceDN/>
        <w:bidi w:val="0"/>
        <w:adjustRightInd w:val="0"/>
        <w:snapToGrid/>
        <w:spacing w:before="156" w:beforeLines="50" w:line="360" w:lineRule="auto"/>
        <w:ind w:firstLine="560" w:firstLineChars="200"/>
        <w:textAlignment w:val="auto"/>
        <w:rPr>
          <w:rFonts w:hint="eastAsia" w:ascii="仿宋" w:hAnsi="仿宋" w:eastAsia="仿宋" w:cs="宋体"/>
          <w:bCs/>
          <w:sz w:val="28"/>
          <w:szCs w:val="28"/>
          <w:lang w:eastAsia="zh-CN"/>
        </w:rPr>
      </w:pPr>
      <w:r>
        <w:rPr>
          <w:rFonts w:hint="eastAsia" w:ascii="仿宋" w:hAnsi="仿宋" w:eastAsia="仿宋" w:cs="宋体"/>
          <w:bCs/>
          <w:sz w:val="28"/>
          <w:szCs w:val="28"/>
          <w:lang w:val="en-US" w:eastAsia="zh-CN"/>
        </w:rPr>
        <w:t>19、挖方的土壤类别、岩石类别、土石比例投标人根据现场及设计文件综合考虑，不因实际挖方深度和范围变化等引起土石情况变化调整综合单价。</w:t>
      </w:r>
    </w:p>
    <w:p>
      <w:pPr>
        <w:spacing w:before="156" w:beforeLines="50" w:line="360" w:lineRule="auto"/>
        <w:ind w:firstLine="560" w:firstLineChars="200"/>
        <w:rPr>
          <w:rFonts w:hint="eastAsia" w:ascii="仿宋" w:hAnsi="仿宋" w:eastAsia="仿宋" w:cs="宋体"/>
          <w:bCs/>
          <w:sz w:val="28"/>
          <w:szCs w:val="28"/>
          <w:lang w:val="en-US" w:eastAsia="zh-CN"/>
        </w:rPr>
      </w:pPr>
      <w:r>
        <w:rPr>
          <w:rFonts w:hint="eastAsia" w:ascii="仿宋" w:hAnsi="仿宋" w:eastAsia="仿宋" w:cs="宋体"/>
          <w:bCs/>
          <w:sz w:val="28"/>
          <w:szCs w:val="28"/>
          <w:lang w:val="en-US" w:eastAsia="zh-CN"/>
        </w:rPr>
        <w:t>20、招标清单列明以外但属于本次招标范围内的各类设备及系统的其他调试、检测、试运行等费用和水平运输及垂直运输费用含在本体项目中，投标人综合考虑，不再单独计列费用。</w:t>
      </w:r>
    </w:p>
    <w:p>
      <w:pPr>
        <w:spacing w:line="360" w:lineRule="auto"/>
        <w:ind w:firstLine="600"/>
        <w:rPr>
          <w:rFonts w:hint="eastAsia" w:ascii="宋体" w:hAnsi="宋体"/>
          <w:b/>
          <w:color w:val="auto"/>
          <w:sz w:val="24"/>
          <w:highlight w:val="none"/>
        </w:rPr>
      </w:pPr>
      <w:r>
        <w:rPr>
          <w:rFonts w:hint="eastAsia" w:ascii="宋体" w:hAnsi="宋体"/>
          <w:b/>
          <w:color w:val="auto"/>
          <w:sz w:val="24"/>
          <w:highlight w:val="none"/>
        </w:rPr>
        <w:t>特别说明：</w:t>
      </w:r>
    </w:p>
    <w:p>
      <w:pPr>
        <w:numPr>
          <w:ilvl w:val="0"/>
          <w:numId w:val="2"/>
        </w:numPr>
        <w:spacing w:line="360" w:lineRule="auto"/>
        <w:ind w:left="660" w:leftChars="0" w:firstLine="0" w:firstLineChars="0"/>
        <w:rPr>
          <w:rFonts w:hint="default" w:ascii="宋体" w:hAnsi="宋体"/>
          <w:color w:val="auto"/>
          <w:sz w:val="24"/>
          <w:highlight w:val="none"/>
          <w:lang w:val="en-US" w:eastAsia="zh-CN"/>
        </w:rPr>
      </w:pPr>
      <w:r>
        <w:rPr>
          <w:rFonts w:hint="eastAsia" w:ascii="宋体" w:hAnsi="宋体"/>
          <w:b/>
          <w:color w:val="auto"/>
          <w:sz w:val="24"/>
          <w:highlight w:val="none"/>
        </w:rPr>
        <w:t>材料设备</w:t>
      </w:r>
      <w:r>
        <w:rPr>
          <w:rFonts w:hint="eastAsia" w:ascii="宋体" w:hAnsi="宋体"/>
          <w:b/>
          <w:color w:val="auto"/>
          <w:sz w:val="24"/>
          <w:highlight w:val="none"/>
          <w:lang w:eastAsia="zh-CN"/>
        </w:rPr>
        <w:t>（含甲供）</w:t>
      </w:r>
      <w:r>
        <w:rPr>
          <w:rFonts w:hint="eastAsia" w:ascii="宋体" w:hAnsi="宋体"/>
          <w:b/>
          <w:color w:val="auto"/>
          <w:sz w:val="24"/>
          <w:highlight w:val="none"/>
          <w:lang w:val="en-US" w:eastAsia="zh-CN"/>
        </w:rPr>
        <w:t>的</w:t>
      </w:r>
      <w:r>
        <w:rPr>
          <w:rFonts w:hint="eastAsia" w:ascii="宋体" w:hAnsi="宋体"/>
          <w:b/>
          <w:color w:val="auto"/>
          <w:sz w:val="24"/>
          <w:highlight w:val="none"/>
        </w:rPr>
        <w:t>采</w:t>
      </w:r>
      <w:r>
        <w:rPr>
          <w:rFonts w:hint="eastAsia" w:ascii="宋体" w:hAnsi="宋体"/>
          <w:b/>
          <w:color w:val="auto"/>
          <w:sz w:val="24"/>
          <w:highlight w:val="none"/>
          <w:lang w:eastAsia="zh-CN"/>
        </w:rPr>
        <w:t>、</w:t>
      </w:r>
      <w:r>
        <w:rPr>
          <w:rFonts w:hint="eastAsia" w:ascii="宋体" w:hAnsi="宋体"/>
          <w:b/>
          <w:color w:val="auto"/>
          <w:sz w:val="24"/>
          <w:highlight w:val="none"/>
        </w:rPr>
        <w:t>管费投标人应综合考虑在综合单价中，</w:t>
      </w:r>
      <w:r>
        <w:rPr>
          <w:rFonts w:hint="eastAsia" w:ascii="宋体" w:hAnsi="宋体"/>
          <w:b/>
          <w:color w:val="auto"/>
          <w:sz w:val="24"/>
          <w:highlight w:val="none"/>
          <w:lang w:eastAsia="zh-CN"/>
        </w:rPr>
        <w:t>不单独计算，</w:t>
      </w:r>
      <w:r>
        <w:rPr>
          <w:rFonts w:hint="eastAsia" w:ascii="宋体" w:hAnsi="宋体"/>
          <w:b/>
          <w:color w:val="auto"/>
          <w:sz w:val="24"/>
          <w:highlight w:val="none"/>
        </w:rPr>
        <w:t>不作调整。</w:t>
      </w:r>
    </w:p>
    <w:p>
      <w:pPr>
        <w:numPr>
          <w:ilvl w:val="0"/>
          <w:numId w:val="2"/>
        </w:numPr>
        <w:spacing w:line="360" w:lineRule="auto"/>
        <w:ind w:left="660" w:leftChars="0" w:firstLine="0" w:firstLineChars="0"/>
        <w:rPr>
          <w:rFonts w:hint="eastAsia" w:ascii="宋体" w:hAnsi="宋体" w:eastAsia="宋体" w:cs="Times New Roman"/>
          <w:b/>
          <w:color w:val="auto"/>
          <w:sz w:val="24"/>
          <w:highlight w:val="none"/>
        </w:rPr>
      </w:pPr>
      <w:r>
        <w:rPr>
          <w:rFonts w:hint="eastAsia" w:ascii="宋体" w:hAnsi="宋体" w:eastAsia="宋体" w:cs="Times New Roman"/>
          <w:b/>
          <w:color w:val="auto"/>
          <w:sz w:val="24"/>
          <w:highlight w:val="none"/>
          <w:lang w:val="en-US" w:eastAsia="zh-CN"/>
        </w:rPr>
        <w:t>本工程按照增值税一般计税法计税，</w:t>
      </w:r>
      <w:r>
        <w:rPr>
          <w:rFonts w:hint="default" w:ascii="宋体" w:hAnsi="宋体" w:eastAsia="宋体" w:cs="Times New Roman"/>
          <w:b/>
          <w:color w:val="auto"/>
          <w:sz w:val="24"/>
          <w:highlight w:val="none"/>
          <w:lang w:val="en-US" w:eastAsia="zh-CN"/>
        </w:rPr>
        <w:t>所有金额均以人民币元为计价单位。</w:t>
      </w:r>
    </w:p>
    <w:p>
      <w:pPr>
        <w:numPr>
          <w:ilvl w:val="0"/>
          <w:numId w:val="2"/>
        </w:numPr>
        <w:spacing w:line="360" w:lineRule="auto"/>
        <w:ind w:left="660" w:leftChars="0" w:firstLine="0" w:firstLineChars="0"/>
        <w:rPr>
          <w:rFonts w:hint="eastAsia"/>
          <w:lang w:val="en-US" w:eastAsia="zh-CN"/>
        </w:rPr>
      </w:pPr>
      <w:r>
        <w:rPr>
          <w:rFonts w:hint="eastAsia" w:ascii="宋体" w:hAnsi="宋体" w:cs="Times New Roman"/>
          <w:b/>
          <w:color w:val="auto"/>
          <w:sz w:val="24"/>
          <w:highlight w:val="none"/>
          <w:lang w:val="en-US" w:eastAsia="zh-CN"/>
        </w:rPr>
        <w:t xml:space="preserve">   </w:t>
      </w:r>
      <w:r>
        <w:rPr>
          <w:rFonts w:hint="eastAsia" w:ascii="宋体" w:hAnsi="宋体" w:eastAsia="宋体" w:cs="Times New Roman"/>
          <w:b/>
          <w:color w:val="auto"/>
          <w:sz w:val="24"/>
          <w:highlight w:val="none"/>
          <w:lang w:val="en-US" w:eastAsia="zh-CN"/>
        </w:rPr>
        <w:t>本工程量清单采用GCCP6.0计价软件编制。</w:t>
      </w:r>
    </w:p>
    <w:p>
      <w:pPr>
        <w:pStyle w:val="2"/>
        <w:rPr>
          <w:rFonts w:hint="default"/>
          <w:lang w:val="en-US" w:eastAsia="zh-CN"/>
        </w:rPr>
      </w:pPr>
    </w:p>
    <w:sectPr>
      <w:footerReference r:id="rId5" w:type="default"/>
      <w:pgSz w:w="11906" w:h="16838"/>
      <w:pgMar w:top="1440" w:right="1797" w:bottom="1440" w:left="1797" w:header="851" w:footer="56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01075"/>
    </w:sdtPr>
    <w:sdtContent>
      <w:p>
        <w:pPr>
          <w:pStyle w:val="10"/>
          <w:jc w:val="center"/>
        </w:pPr>
        <w:r>
          <w:fldChar w:fldCharType="begin"/>
        </w:r>
        <w:r>
          <w:instrText xml:space="preserve"> PAGE   \* MERGEFORMAT </w:instrText>
        </w:r>
        <w:r>
          <w:fldChar w:fldCharType="separate"/>
        </w:r>
        <w:r>
          <w:rPr>
            <w:lang w:val="zh-CN"/>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802DD2"/>
    <w:multiLevelType w:val="singleLevel"/>
    <w:tmpl w:val="D4802DD2"/>
    <w:lvl w:ilvl="0" w:tentative="0">
      <w:start w:val="1"/>
      <w:numFmt w:val="decimal"/>
      <w:lvlText w:val="%1."/>
      <w:lvlJc w:val="left"/>
      <w:pPr>
        <w:tabs>
          <w:tab w:val="left" w:pos="312"/>
        </w:tabs>
        <w:ind w:left="660" w:firstLine="0"/>
      </w:pPr>
    </w:lvl>
  </w:abstractNum>
  <w:abstractNum w:abstractNumId="1">
    <w:nsid w:val="229C18D6"/>
    <w:multiLevelType w:val="singleLevel"/>
    <w:tmpl w:val="229C18D6"/>
    <w:lvl w:ilvl="0" w:tentative="0">
      <w:start w:val="1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kZjAwY2UxZDgyNDQ5MzI1MTkxZmFhMGU0NzJiZjQifQ=="/>
  </w:docVars>
  <w:rsids>
    <w:rsidRoot w:val="00660177"/>
    <w:rsid w:val="000127C7"/>
    <w:rsid w:val="00023C30"/>
    <w:rsid w:val="00024F6E"/>
    <w:rsid w:val="00026439"/>
    <w:rsid w:val="00041506"/>
    <w:rsid w:val="00046300"/>
    <w:rsid w:val="00062458"/>
    <w:rsid w:val="0008119E"/>
    <w:rsid w:val="000B16D1"/>
    <w:rsid w:val="000B2BF0"/>
    <w:rsid w:val="000C3D37"/>
    <w:rsid w:val="000C55BF"/>
    <w:rsid w:val="000E0385"/>
    <w:rsid w:val="000E6AEA"/>
    <w:rsid w:val="00101434"/>
    <w:rsid w:val="001076D8"/>
    <w:rsid w:val="001246EC"/>
    <w:rsid w:val="00127580"/>
    <w:rsid w:val="0013159C"/>
    <w:rsid w:val="00141289"/>
    <w:rsid w:val="0014654D"/>
    <w:rsid w:val="00173C69"/>
    <w:rsid w:val="00174D05"/>
    <w:rsid w:val="001A03FF"/>
    <w:rsid w:val="001A0EDF"/>
    <w:rsid w:val="001A7C67"/>
    <w:rsid w:val="001D0649"/>
    <w:rsid w:val="001E0769"/>
    <w:rsid w:val="001E3750"/>
    <w:rsid w:val="00221A45"/>
    <w:rsid w:val="0022296A"/>
    <w:rsid w:val="00222A92"/>
    <w:rsid w:val="002239BC"/>
    <w:rsid w:val="00223EAB"/>
    <w:rsid w:val="002333C4"/>
    <w:rsid w:val="002505EC"/>
    <w:rsid w:val="002616A9"/>
    <w:rsid w:val="0026370D"/>
    <w:rsid w:val="00267B87"/>
    <w:rsid w:val="0028208D"/>
    <w:rsid w:val="00292662"/>
    <w:rsid w:val="002A503B"/>
    <w:rsid w:val="002A5632"/>
    <w:rsid w:val="002B48C8"/>
    <w:rsid w:val="002C51F5"/>
    <w:rsid w:val="002C74FE"/>
    <w:rsid w:val="002D5FAB"/>
    <w:rsid w:val="002D7944"/>
    <w:rsid w:val="0030736D"/>
    <w:rsid w:val="003120F6"/>
    <w:rsid w:val="00331AF8"/>
    <w:rsid w:val="00332D8D"/>
    <w:rsid w:val="00353C2A"/>
    <w:rsid w:val="00361412"/>
    <w:rsid w:val="00366F13"/>
    <w:rsid w:val="00394C3E"/>
    <w:rsid w:val="003B145E"/>
    <w:rsid w:val="003C3397"/>
    <w:rsid w:val="003D6AFE"/>
    <w:rsid w:val="003E5B3B"/>
    <w:rsid w:val="003F2B74"/>
    <w:rsid w:val="004016E9"/>
    <w:rsid w:val="004153CD"/>
    <w:rsid w:val="00421A3E"/>
    <w:rsid w:val="004414B2"/>
    <w:rsid w:val="00455A94"/>
    <w:rsid w:val="00462210"/>
    <w:rsid w:val="00467F43"/>
    <w:rsid w:val="00470CB5"/>
    <w:rsid w:val="004777DE"/>
    <w:rsid w:val="00480B1B"/>
    <w:rsid w:val="004814CA"/>
    <w:rsid w:val="00492E41"/>
    <w:rsid w:val="004A0265"/>
    <w:rsid w:val="004C1639"/>
    <w:rsid w:val="004D2512"/>
    <w:rsid w:val="004E2603"/>
    <w:rsid w:val="005035E9"/>
    <w:rsid w:val="005179A3"/>
    <w:rsid w:val="0052209E"/>
    <w:rsid w:val="00573A13"/>
    <w:rsid w:val="00573C08"/>
    <w:rsid w:val="005B7940"/>
    <w:rsid w:val="005C6462"/>
    <w:rsid w:val="005E4E14"/>
    <w:rsid w:val="005F0555"/>
    <w:rsid w:val="00647D22"/>
    <w:rsid w:val="00656432"/>
    <w:rsid w:val="00660177"/>
    <w:rsid w:val="0066331F"/>
    <w:rsid w:val="0066359C"/>
    <w:rsid w:val="00674D21"/>
    <w:rsid w:val="006A63FC"/>
    <w:rsid w:val="006B14D3"/>
    <w:rsid w:val="006D590B"/>
    <w:rsid w:val="007312B6"/>
    <w:rsid w:val="0074328C"/>
    <w:rsid w:val="007449B7"/>
    <w:rsid w:val="00756EB7"/>
    <w:rsid w:val="00756F08"/>
    <w:rsid w:val="007724E1"/>
    <w:rsid w:val="007837F3"/>
    <w:rsid w:val="00794F24"/>
    <w:rsid w:val="007B4A92"/>
    <w:rsid w:val="007E1107"/>
    <w:rsid w:val="007E4193"/>
    <w:rsid w:val="008010D3"/>
    <w:rsid w:val="00804679"/>
    <w:rsid w:val="00805AB0"/>
    <w:rsid w:val="00815DA2"/>
    <w:rsid w:val="00825330"/>
    <w:rsid w:val="0082618F"/>
    <w:rsid w:val="00834845"/>
    <w:rsid w:val="0085527F"/>
    <w:rsid w:val="00863263"/>
    <w:rsid w:val="00880432"/>
    <w:rsid w:val="00881A84"/>
    <w:rsid w:val="00885B13"/>
    <w:rsid w:val="008B31B3"/>
    <w:rsid w:val="008C158C"/>
    <w:rsid w:val="008E12FD"/>
    <w:rsid w:val="008E2C56"/>
    <w:rsid w:val="00912230"/>
    <w:rsid w:val="009330B0"/>
    <w:rsid w:val="00934BE8"/>
    <w:rsid w:val="00936992"/>
    <w:rsid w:val="009419E1"/>
    <w:rsid w:val="009558C0"/>
    <w:rsid w:val="00960105"/>
    <w:rsid w:val="00966A28"/>
    <w:rsid w:val="00976570"/>
    <w:rsid w:val="009772C5"/>
    <w:rsid w:val="009800CC"/>
    <w:rsid w:val="00987CE6"/>
    <w:rsid w:val="00995A3A"/>
    <w:rsid w:val="00997E2B"/>
    <w:rsid w:val="009A1E24"/>
    <w:rsid w:val="009A1EFB"/>
    <w:rsid w:val="009C5088"/>
    <w:rsid w:val="009E7F75"/>
    <w:rsid w:val="009F22B6"/>
    <w:rsid w:val="00A23FF3"/>
    <w:rsid w:val="00A27795"/>
    <w:rsid w:val="00A27EFA"/>
    <w:rsid w:val="00A31DA5"/>
    <w:rsid w:val="00A33C84"/>
    <w:rsid w:val="00A70632"/>
    <w:rsid w:val="00A71CC6"/>
    <w:rsid w:val="00A73F0D"/>
    <w:rsid w:val="00A75DFD"/>
    <w:rsid w:val="00A8351A"/>
    <w:rsid w:val="00A8390E"/>
    <w:rsid w:val="00A9317E"/>
    <w:rsid w:val="00A975B3"/>
    <w:rsid w:val="00AA05CF"/>
    <w:rsid w:val="00AB22BB"/>
    <w:rsid w:val="00AE6AA7"/>
    <w:rsid w:val="00AE7C8F"/>
    <w:rsid w:val="00AF2B69"/>
    <w:rsid w:val="00B17E7C"/>
    <w:rsid w:val="00B222E4"/>
    <w:rsid w:val="00B619B1"/>
    <w:rsid w:val="00B6380E"/>
    <w:rsid w:val="00B70502"/>
    <w:rsid w:val="00B718AA"/>
    <w:rsid w:val="00B74CB2"/>
    <w:rsid w:val="00B75433"/>
    <w:rsid w:val="00B75660"/>
    <w:rsid w:val="00B86B4A"/>
    <w:rsid w:val="00BB072D"/>
    <w:rsid w:val="00BD7E18"/>
    <w:rsid w:val="00BE0D6A"/>
    <w:rsid w:val="00BE5B0C"/>
    <w:rsid w:val="00BF0567"/>
    <w:rsid w:val="00BF10D0"/>
    <w:rsid w:val="00BF3DD5"/>
    <w:rsid w:val="00BF5D35"/>
    <w:rsid w:val="00C24C8C"/>
    <w:rsid w:val="00C36D2E"/>
    <w:rsid w:val="00C3735B"/>
    <w:rsid w:val="00C61B0B"/>
    <w:rsid w:val="00C66035"/>
    <w:rsid w:val="00C66AF2"/>
    <w:rsid w:val="00C774A9"/>
    <w:rsid w:val="00C92A57"/>
    <w:rsid w:val="00C92E25"/>
    <w:rsid w:val="00CA2FB4"/>
    <w:rsid w:val="00CB1B67"/>
    <w:rsid w:val="00CC0DFB"/>
    <w:rsid w:val="00CC5E23"/>
    <w:rsid w:val="00CD38CA"/>
    <w:rsid w:val="00CE4B73"/>
    <w:rsid w:val="00CE7BF7"/>
    <w:rsid w:val="00CF32FC"/>
    <w:rsid w:val="00D13357"/>
    <w:rsid w:val="00D138E6"/>
    <w:rsid w:val="00D15CD4"/>
    <w:rsid w:val="00D82E1B"/>
    <w:rsid w:val="00D95AE1"/>
    <w:rsid w:val="00DA7C97"/>
    <w:rsid w:val="00DB3A60"/>
    <w:rsid w:val="00DB4C4B"/>
    <w:rsid w:val="00DC4A19"/>
    <w:rsid w:val="00DC7220"/>
    <w:rsid w:val="00DD0761"/>
    <w:rsid w:val="00DD7702"/>
    <w:rsid w:val="00DE3A1C"/>
    <w:rsid w:val="00DF1255"/>
    <w:rsid w:val="00E11944"/>
    <w:rsid w:val="00E17972"/>
    <w:rsid w:val="00E2320D"/>
    <w:rsid w:val="00E30507"/>
    <w:rsid w:val="00E466DF"/>
    <w:rsid w:val="00E56152"/>
    <w:rsid w:val="00E73646"/>
    <w:rsid w:val="00E91F88"/>
    <w:rsid w:val="00EA11F2"/>
    <w:rsid w:val="00EC1F2F"/>
    <w:rsid w:val="00EC3033"/>
    <w:rsid w:val="00EE5B0A"/>
    <w:rsid w:val="00F10C7F"/>
    <w:rsid w:val="00F13934"/>
    <w:rsid w:val="00F4068F"/>
    <w:rsid w:val="00F56C57"/>
    <w:rsid w:val="00F72D0A"/>
    <w:rsid w:val="00F87E25"/>
    <w:rsid w:val="00F91476"/>
    <w:rsid w:val="00F967CD"/>
    <w:rsid w:val="00FA5461"/>
    <w:rsid w:val="00FA7CB7"/>
    <w:rsid w:val="00FB193B"/>
    <w:rsid w:val="00FB3510"/>
    <w:rsid w:val="00FB7057"/>
    <w:rsid w:val="00FE51BD"/>
    <w:rsid w:val="00FE524A"/>
    <w:rsid w:val="02A87D6F"/>
    <w:rsid w:val="0895483B"/>
    <w:rsid w:val="0ACF748A"/>
    <w:rsid w:val="0CCC5F95"/>
    <w:rsid w:val="0EA95608"/>
    <w:rsid w:val="101279C5"/>
    <w:rsid w:val="136D3836"/>
    <w:rsid w:val="16AC791D"/>
    <w:rsid w:val="1AFF4C4A"/>
    <w:rsid w:val="1FAF4BAF"/>
    <w:rsid w:val="20C20AE9"/>
    <w:rsid w:val="21392553"/>
    <w:rsid w:val="28BF77F5"/>
    <w:rsid w:val="2991439A"/>
    <w:rsid w:val="29EF3284"/>
    <w:rsid w:val="2BBA1A67"/>
    <w:rsid w:val="30C22A83"/>
    <w:rsid w:val="3A171DFD"/>
    <w:rsid w:val="3ACA2984"/>
    <w:rsid w:val="3AEE5BE0"/>
    <w:rsid w:val="4AB403FF"/>
    <w:rsid w:val="527A34A7"/>
    <w:rsid w:val="52CD0DB8"/>
    <w:rsid w:val="57C90119"/>
    <w:rsid w:val="57DD1D95"/>
    <w:rsid w:val="6F0430C3"/>
    <w:rsid w:val="78CA3548"/>
    <w:rsid w:val="7A5B77C4"/>
    <w:rsid w:val="7BB5458E"/>
    <w:rsid w:val="7E0E09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pPr>
    <w:rPr>
      <w:rFonts w:ascii="Calibri" w:hAnsi="Calibri" w:eastAsia="宋体" w:cs="Times New Roman"/>
      <w:sz w:val="22"/>
      <w:szCs w:val="22"/>
      <w:lang w:val="en-US" w:eastAsia="en-US" w:bidi="ar-SA"/>
    </w:rPr>
  </w:style>
  <w:style w:type="paragraph" w:styleId="3">
    <w:name w:val="heading 1"/>
    <w:basedOn w:val="1"/>
    <w:next w:val="1"/>
    <w:link w:val="22"/>
    <w:qFormat/>
    <w:uiPriority w:val="0"/>
    <w:pPr>
      <w:keepNext/>
      <w:keepLines/>
      <w:spacing w:before="340" w:after="330" w:line="576" w:lineRule="auto"/>
      <w:jc w:val="both"/>
      <w:outlineLvl w:val="0"/>
    </w:pPr>
    <w:rPr>
      <w:rFonts w:ascii="Times New Roman" w:hAnsi="Times New Roman"/>
      <w:b/>
      <w:bCs/>
      <w:kern w:val="44"/>
      <w:sz w:val="44"/>
      <w:szCs w:val="44"/>
      <w:lang w:eastAsia="zh-CN"/>
    </w:rPr>
  </w:style>
  <w:style w:type="paragraph" w:styleId="4">
    <w:name w:val="heading 3"/>
    <w:basedOn w:val="1"/>
    <w:next w:val="1"/>
    <w:link w:val="23"/>
    <w:qFormat/>
    <w:uiPriority w:val="0"/>
    <w:pPr>
      <w:keepNext/>
      <w:keepLines/>
      <w:spacing w:before="260" w:after="260" w:line="415" w:lineRule="auto"/>
      <w:jc w:val="both"/>
      <w:outlineLvl w:val="2"/>
    </w:pPr>
    <w:rPr>
      <w:rFonts w:ascii="Times New Roman" w:hAnsi="Times New Roman"/>
      <w:b/>
      <w:bCs/>
      <w:kern w:val="2"/>
      <w:sz w:val="32"/>
      <w:szCs w:val="32"/>
      <w:lang w:eastAsia="zh-CN"/>
    </w:rPr>
  </w:style>
  <w:style w:type="paragraph" w:styleId="5">
    <w:name w:val="heading 4"/>
    <w:basedOn w:val="1"/>
    <w:next w:val="1"/>
    <w:link w:val="24"/>
    <w:qFormat/>
    <w:uiPriority w:val="0"/>
    <w:pPr>
      <w:keepNext/>
      <w:keepLines/>
      <w:spacing w:before="280" w:after="290" w:line="374" w:lineRule="auto"/>
      <w:jc w:val="both"/>
      <w:outlineLvl w:val="3"/>
    </w:pPr>
    <w:rPr>
      <w:rFonts w:ascii="Cambria" w:hAnsi="Cambria"/>
      <w:b/>
      <w:bCs/>
      <w:kern w:val="2"/>
      <w:sz w:val="28"/>
      <w:szCs w:val="28"/>
      <w:lang w:eastAsia="zh-CN"/>
    </w:rPr>
  </w:style>
  <w:style w:type="paragraph" w:styleId="6">
    <w:name w:val="heading 5"/>
    <w:basedOn w:val="1"/>
    <w:next w:val="1"/>
    <w:link w:val="25"/>
    <w:qFormat/>
    <w:uiPriority w:val="0"/>
    <w:pPr>
      <w:keepNext/>
      <w:keepLines/>
      <w:spacing w:after="0" w:line="360" w:lineRule="auto"/>
      <w:jc w:val="both"/>
      <w:outlineLvl w:val="4"/>
    </w:pPr>
    <w:rPr>
      <w:rFonts w:ascii="Times New Roman" w:hAnsi="Times New Roman" w:eastAsia="黑体"/>
      <w:kern w:val="2"/>
      <w:sz w:val="21"/>
      <w:szCs w:val="20"/>
      <w:lang w:eastAsia="zh-CN"/>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7">
    <w:name w:val="annotation text"/>
    <w:basedOn w:val="1"/>
    <w:link w:val="36"/>
    <w:qFormat/>
    <w:uiPriority w:val="0"/>
  </w:style>
  <w:style w:type="paragraph" w:styleId="8">
    <w:name w:val="toc 3"/>
    <w:basedOn w:val="1"/>
    <w:next w:val="1"/>
    <w:semiHidden/>
    <w:unhideWhenUsed/>
    <w:qFormat/>
    <w:uiPriority w:val="39"/>
    <w:pPr>
      <w:widowControl/>
      <w:spacing w:after="100"/>
      <w:ind w:left="440"/>
    </w:pPr>
    <w:rPr>
      <w:lang w:eastAsia="zh-CN"/>
    </w:rPr>
  </w:style>
  <w:style w:type="paragraph" w:styleId="9">
    <w:name w:val="Balloon Text"/>
    <w:basedOn w:val="1"/>
    <w:link w:val="38"/>
    <w:semiHidden/>
    <w:unhideWhenUsed/>
    <w:uiPriority w:val="99"/>
    <w:pPr>
      <w:spacing w:after="0" w:line="240" w:lineRule="auto"/>
    </w:pPr>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pPr>
      <w:widowControl/>
      <w:spacing w:after="100"/>
    </w:pPr>
    <w:rPr>
      <w:lang w:eastAsia="zh-CN"/>
    </w:rPr>
  </w:style>
  <w:style w:type="paragraph" w:styleId="13">
    <w:name w:val="Subtitle"/>
    <w:basedOn w:val="1"/>
    <w:next w:val="1"/>
    <w:link w:val="26"/>
    <w:qFormat/>
    <w:uiPriority w:val="0"/>
    <w:pPr>
      <w:spacing w:before="240" w:after="60" w:line="312" w:lineRule="auto"/>
      <w:jc w:val="center"/>
      <w:outlineLvl w:val="1"/>
    </w:pPr>
    <w:rPr>
      <w:rFonts w:ascii="Cambria" w:hAnsi="Cambria"/>
      <w:b/>
      <w:bCs/>
      <w:kern w:val="28"/>
      <w:sz w:val="32"/>
      <w:szCs w:val="32"/>
    </w:rPr>
  </w:style>
  <w:style w:type="paragraph" w:styleId="14">
    <w:name w:val="toc 2"/>
    <w:basedOn w:val="1"/>
    <w:next w:val="1"/>
    <w:semiHidden/>
    <w:unhideWhenUsed/>
    <w:qFormat/>
    <w:uiPriority w:val="39"/>
    <w:pPr>
      <w:widowControl/>
      <w:spacing w:after="100"/>
      <w:ind w:left="220"/>
    </w:pPr>
    <w:rPr>
      <w:lang w:eastAsia="zh-CN"/>
    </w:rPr>
  </w:style>
  <w:style w:type="paragraph" w:styleId="15">
    <w:name w:val="annotation subject"/>
    <w:basedOn w:val="7"/>
    <w:next w:val="7"/>
    <w:link w:val="39"/>
    <w:semiHidden/>
    <w:unhideWhenUsed/>
    <w:qFormat/>
    <w:uiPriority w:val="99"/>
    <w:rPr>
      <w:b/>
      <w:bCs/>
    </w:rPr>
  </w:style>
  <w:style w:type="character" w:styleId="18">
    <w:name w:val="Strong"/>
    <w:basedOn w:val="17"/>
    <w:qFormat/>
    <w:uiPriority w:val="0"/>
    <w:rPr>
      <w:b/>
      <w:bCs/>
    </w:rPr>
  </w:style>
  <w:style w:type="character" w:styleId="19">
    <w:name w:val="annotation reference"/>
    <w:basedOn w:val="17"/>
    <w:uiPriority w:val="0"/>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character" w:customStyle="1" w:styleId="22">
    <w:name w:val="标题 1 字符"/>
    <w:basedOn w:val="17"/>
    <w:link w:val="3"/>
    <w:uiPriority w:val="0"/>
    <w:rPr>
      <w:rFonts w:ascii="Times New Roman" w:hAnsi="Times New Roman"/>
      <w:b/>
      <w:bCs/>
      <w:kern w:val="44"/>
      <w:sz w:val="44"/>
      <w:szCs w:val="44"/>
    </w:rPr>
  </w:style>
  <w:style w:type="character" w:customStyle="1" w:styleId="23">
    <w:name w:val="标题 3 字符"/>
    <w:basedOn w:val="17"/>
    <w:link w:val="4"/>
    <w:qFormat/>
    <w:uiPriority w:val="0"/>
    <w:rPr>
      <w:rFonts w:ascii="Times New Roman" w:hAnsi="Times New Roman"/>
      <w:b/>
      <w:bCs/>
      <w:kern w:val="2"/>
      <w:sz w:val="32"/>
      <w:szCs w:val="32"/>
    </w:rPr>
  </w:style>
  <w:style w:type="character" w:customStyle="1" w:styleId="24">
    <w:name w:val="标题 4 字符"/>
    <w:basedOn w:val="17"/>
    <w:link w:val="5"/>
    <w:qFormat/>
    <w:uiPriority w:val="0"/>
    <w:rPr>
      <w:rFonts w:ascii="Cambria" w:hAnsi="Cambria"/>
      <w:b/>
      <w:bCs/>
      <w:kern w:val="2"/>
      <w:sz w:val="28"/>
      <w:szCs w:val="28"/>
    </w:rPr>
  </w:style>
  <w:style w:type="character" w:customStyle="1" w:styleId="25">
    <w:name w:val="标题 5 字符"/>
    <w:basedOn w:val="17"/>
    <w:link w:val="6"/>
    <w:qFormat/>
    <w:uiPriority w:val="0"/>
    <w:rPr>
      <w:rFonts w:ascii="Times New Roman" w:hAnsi="Times New Roman" w:eastAsia="黑体"/>
      <w:kern w:val="2"/>
      <w:sz w:val="21"/>
    </w:rPr>
  </w:style>
  <w:style w:type="character" w:customStyle="1" w:styleId="26">
    <w:name w:val="副标题 字符"/>
    <w:basedOn w:val="17"/>
    <w:link w:val="13"/>
    <w:qFormat/>
    <w:uiPriority w:val="0"/>
    <w:rPr>
      <w:rFonts w:ascii="Cambria" w:hAnsi="Cambria"/>
      <w:b/>
      <w:bCs/>
      <w:kern w:val="28"/>
      <w:sz w:val="32"/>
      <w:szCs w:val="32"/>
      <w:lang w:eastAsia="en-US"/>
    </w:rPr>
  </w:style>
  <w:style w:type="character" w:customStyle="1" w:styleId="27">
    <w:name w:val="副标题 Char1"/>
    <w:basedOn w:val="17"/>
    <w:qFormat/>
    <w:uiPriority w:val="0"/>
    <w:rPr>
      <w:rFonts w:ascii="Cambria" w:hAnsi="Cambria" w:cs="Times New Roman"/>
      <w:b/>
      <w:bCs/>
      <w:kern w:val="28"/>
      <w:sz w:val="32"/>
      <w:szCs w:val="32"/>
      <w:lang w:eastAsia="en-US"/>
    </w:rPr>
  </w:style>
  <w:style w:type="paragraph" w:styleId="28">
    <w:name w:val="List Paragraph"/>
    <w:basedOn w:val="1"/>
    <w:qFormat/>
    <w:uiPriority w:val="0"/>
    <w:pPr>
      <w:ind w:firstLine="420" w:firstLineChars="200"/>
    </w:pPr>
  </w:style>
  <w:style w:type="paragraph" w:customStyle="1" w:styleId="29">
    <w:name w:val="TOC 标题1"/>
    <w:basedOn w:val="3"/>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0">
    <w:name w:val="Z5"/>
    <w:basedOn w:val="1"/>
    <w:qFormat/>
    <w:uiPriority w:val="0"/>
    <w:pPr>
      <w:autoSpaceDE w:val="0"/>
      <w:autoSpaceDN w:val="0"/>
      <w:adjustRightInd w:val="0"/>
      <w:spacing w:after="0" w:line="360" w:lineRule="auto"/>
      <w:ind w:firstLine="420" w:firstLineChars="200"/>
    </w:pPr>
    <w:rPr>
      <w:rFonts w:ascii="宋体" w:cs="宋体"/>
      <w:sz w:val="21"/>
      <w:szCs w:val="21"/>
      <w:lang w:eastAsia="zh-CN"/>
    </w:rPr>
  </w:style>
  <w:style w:type="paragraph" w:customStyle="1" w:styleId="31">
    <w:name w:val="X3"/>
    <w:basedOn w:val="1"/>
    <w:qFormat/>
    <w:uiPriority w:val="0"/>
    <w:pPr>
      <w:autoSpaceDE w:val="0"/>
      <w:autoSpaceDN w:val="0"/>
      <w:adjustRightInd w:val="0"/>
      <w:spacing w:after="0" w:line="360" w:lineRule="auto"/>
    </w:pPr>
    <w:rPr>
      <w:rFonts w:ascii="宋体" w:hAnsi="宋体"/>
      <w:b/>
      <w:color w:val="000000"/>
      <w:sz w:val="24"/>
      <w:szCs w:val="24"/>
      <w:lang w:eastAsia="zh-CN"/>
    </w:rPr>
  </w:style>
  <w:style w:type="paragraph" w:customStyle="1" w:styleId="32">
    <w:name w:val="B3"/>
    <w:basedOn w:val="1"/>
    <w:next w:val="31"/>
    <w:qFormat/>
    <w:uiPriority w:val="0"/>
    <w:pPr>
      <w:autoSpaceDE w:val="0"/>
      <w:autoSpaceDN w:val="0"/>
      <w:adjustRightInd w:val="0"/>
      <w:spacing w:line="360" w:lineRule="auto"/>
      <w:jc w:val="center"/>
      <w:outlineLvl w:val="0"/>
    </w:pPr>
    <w:rPr>
      <w:rFonts w:ascii="宋体" w:hAnsi="宋体"/>
      <w:b/>
      <w:color w:val="000000"/>
      <w:sz w:val="32"/>
      <w:szCs w:val="32"/>
      <w:lang w:eastAsia="zh-CN"/>
    </w:rPr>
  </w:style>
  <w:style w:type="paragraph" w:customStyle="1" w:styleId="33">
    <w:name w:val="ZX4"/>
    <w:basedOn w:val="30"/>
    <w:qFormat/>
    <w:uiPriority w:val="0"/>
    <w:pPr>
      <w:ind w:firstLine="200"/>
    </w:pPr>
    <w:rPr>
      <w:rFonts w:asciiTheme="minorEastAsia" w:hAnsiTheme="minorEastAsia"/>
      <w:sz w:val="24"/>
      <w:szCs w:val="24"/>
    </w:rPr>
  </w:style>
  <w:style w:type="paragraph" w:customStyle="1" w:styleId="34">
    <w:name w:val="BT1X4"/>
    <w:basedOn w:val="33"/>
    <w:qFormat/>
    <w:uiPriority w:val="0"/>
    <w:pPr>
      <w:ind w:firstLine="0" w:firstLineChars="0"/>
      <w:outlineLvl w:val="0"/>
    </w:pPr>
    <w:rPr>
      <w:b/>
    </w:rPr>
  </w:style>
  <w:style w:type="paragraph" w:customStyle="1" w:styleId="35">
    <w:name w:val="BT2X4"/>
    <w:basedOn w:val="34"/>
    <w:next w:val="30"/>
    <w:qFormat/>
    <w:uiPriority w:val="0"/>
  </w:style>
  <w:style w:type="character" w:customStyle="1" w:styleId="36">
    <w:name w:val="批注文字 字符"/>
    <w:basedOn w:val="17"/>
    <w:link w:val="7"/>
    <w:qFormat/>
    <w:uiPriority w:val="0"/>
    <w:rPr>
      <w:sz w:val="22"/>
      <w:szCs w:val="22"/>
      <w:lang w:eastAsia="en-US"/>
    </w:rPr>
  </w:style>
  <w:style w:type="character" w:customStyle="1" w:styleId="37">
    <w:name w:val="批注文字 Char1"/>
    <w:basedOn w:val="17"/>
    <w:semiHidden/>
    <w:qFormat/>
    <w:uiPriority w:val="99"/>
    <w:rPr>
      <w:sz w:val="22"/>
      <w:szCs w:val="22"/>
      <w:lang w:eastAsia="en-US"/>
    </w:rPr>
  </w:style>
  <w:style w:type="character" w:customStyle="1" w:styleId="38">
    <w:name w:val="批注框文本 字符"/>
    <w:basedOn w:val="17"/>
    <w:link w:val="9"/>
    <w:semiHidden/>
    <w:qFormat/>
    <w:uiPriority w:val="99"/>
    <w:rPr>
      <w:sz w:val="18"/>
      <w:szCs w:val="18"/>
      <w:lang w:eastAsia="en-US"/>
    </w:rPr>
  </w:style>
  <w:style w:type="character" w:customStyle="1" w:styleId="39">
    <w:name w:val="批注主题 字符"/>
    <w:basedOn w:val="36"/>
    <w:link w:val="15"/>
    <w:semiHidden/>
    <w:qFormat/>
    <w:uiPriority w:val="99"/>
    <w:rPr>
      <w:b/>
      <w:bCs/>
      <w:sz w:val="22"/>
      <w:szCs w:val="22"/>
      <w:lang w:eastAsia="en-US"/>
    </w:rPr>
  </w:style>
  <w:style w:type="paragraph" w:customStyle="1" w:styleId="40">
    <w:name w:val="正文1"/>
    <w:qFormat/>
    <w:uiPriority w:val="0"/>
    <w:pPr>
      <w:jc w:val="both"/>
    </w:pPr>
    <w:rPr>
      <w:rFonts w:ascii="Calibri" w:hAnsi="Calibri" w:eastAsia="宋体" w:cs="Calibri"/>
      <w:kern w:val="2"/>
      <w:sz w:val="21"/>
      <w:szCs w:val="21"/>
      <w:lang w:val="en-US" w:eastAsia="zh-CN" w:bidi="ar-SA"/>
    </w:rPr>
  </w:style>
  <w:style w:type="paragraph" w:customStyle="1" w:styleId="41">
    <w:name w:val="ZW-4ZK2"/>
    <w:basedOn w:val="1"/>
    <w:qFormat/>
    <w:uiPriority w:val="0"/>
    <w:pPr>
      <w:widowControl/>
      <w:spacing w:beforeLines="50" w:after="0" w:line="312" w:lineRule="auto"/>
      <w:ind w:firstLine="200" w:firstLineChars="200"/>
    </w:pPr>
    <w:rPr>
      <w:rFonts w:ascii="宋体" w:hAnsi="宋体" w:cs="宋体"/>
      <w:sz w:val="24"/>
      <w:szCs w:val="24"/>
      <w:lang w:eastAsia="zh-CN"/>
    </w:rPr>
  </w:style>
  <w:style w:type="paragraph" w:customStyle="1" w:styleId="42">
    <w:name w:val="ZW5K2L"/>
    <w:basedOn w:val="1"/>
    <w:qFormat/>
    <w:uiPriority w:val="0"/>
    <w:pPr>
      <w:autoSpaceDE w:val="0"/>
      <w:autoSpaceDN w:val="0"/>
      <w:adjustRightInd w:val="0"/>
      <w:spacing w:after="0" w:line="360" w:lineRule="auto"/>
      <w:ind w:firstLine="420" w:firstLineChars="200"/>
    </w:pPr>
    <w:rPr>
      <w:rFonts w:ascii="宋体" w:cs="宋体"/>
      <w:sz w:val="21"/>
      <w:szCs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CA539-41C7-4617-8D75-D854D7104367}">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2531</Words>
  <Characters>2590</Characters>
  <Lines>18</Lines>
  <Paragraphs>5</Paragraphs>
  <TotalTime>21</TotalTime>
  <ScaleCrop>false</ScaleCrop>
  <LinksUpToDate>false</LinksUpToDate>
  <CharactersWithSpaces>2594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2020-10-08T14:08:00Z</dcterms:created>
  <dc:creator>夏天的太阳</dc:creator>
  <cp:lastModifiedBy>陈阳</cp:lastModifiedBy>
  <cp:lastPrinted>2016-01-04T05:50:00Z</cp:lastPrinted>
  <dcterms:modified xsi:type="dcterms:W3CDTF">2022-06-20T02:43:02Z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189D84417AD2481EB123E2A3D8ABD633</vt:lpwstr>
  </property>
  <property fmtid="{D5CDD505-2E9C-101B-9397-08002B2CF9AE}" pid="4" name="commondata">
    <vt:lpwstr>eyJoZGlkIjoiZTZkZjAwY2UxZDgyNDQ5MzI1MTkxZmFhMGU0NzJiZjQifQ==</vt:lpwstr>
  </property>
</Properties>
</file>